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Dedicación y retribuciones de los concejales de la corporación: </w:t>
      </w:r>
    </w:p>
    <w:p>
      <w:pPr/>
      <w:r>
        <w:rPr/>
        <w:t xml:space="preserve">Los concejales con </w:t>
      </w:r>
      <w:r>
        <w:rPr>
          <w:b w:val="1"/>
          <w:bCs w:val="1"/>
        </w:rPr>
        <w:t xml:space="preserve">dedicación </w:t>
      </w:r>
      <w:r>
        <w:rPr/>
        <w:t xml:space="preserve">exclusiva y parcial que se relaciona a continuación, con las retribuciones brutas mensuales en 14 pagas anuales, que se actualizarán cada año con la LPGE.</w:t>
      </w:r>
    </w:p>
    <w:tbl>
      <w:tblGrid>
        <w:gridCol w:w="460850" w:type="dxa"/>
        <w:gridCol w:w="140250" w:type="dxa"/>
        <w:gridCol w:w="398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Apellidos y Nombre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Sosa Monzón, Teodoro Claret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No percibe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Mateos Castillo, Julio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Guerra Mendoza, I. Valeriana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2.386,39 €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Ruiz Moreno, Carlos Matías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Mendoza Jiménez, Ana Teresa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Martín Ojeda, Agustín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Mateos Moreno, Idaira Chaxiraxi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Reyes Sánchez, Heriberto José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3.088,55 €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Delgado Jorge, Dolores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2.806,49 €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Vega Valencia, Nuria Esther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2.806,49 €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Cabrera Cruz, Rita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Miranda Guerra, Ulises David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701,62 €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Mederos  Díaz, Nicolás Pino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Bolaños Delgado, Ancor Jesús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1.544,25 €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Rodríguez Díaz, Eleazar Miguel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Mendoza Vega, Pedro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Moreno Jiménez, Antonia Isabel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1.403,25 €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Perdomo Bolaños, Cristian Jesús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  <w:tr>
        <w:trPr/>
        <w:tc>
          <w:tcPr>
            <w:tcW w:w="460850" w:type="pct"/>
            <w:vAlign w:val="center"/>
          </w:tcPr>
          <w:p>
            <w:pPr>
              <w:jc w:val="center"/>
            </w:pPr>
            <w:r>
              <w:rPr/>
              <w:t xml:space="preserve">Benítez Melián, Antonio María</w:t>
            </w:r>
          </w:p>
        </w:tc>
        <w:tc>
          <w:tcPr>
            <w:tcW w:w="140250" w:type="pct"/>
            <w:vAlign w:val="center"/>
          </w:tcPr>
          <w:p>
            <w:pPr>
              <w:jc w:val="center"/>
            </w:pPr>
            <w:r>
              <w:rPr/>
              <w:t xml:space="preserve">Parcial</w:t>
            </w:r>
          </w:p>
        </w:tc>
        <w:tc>
          <w:tcPr>
            <w:tcW w:w="398050" w:type="pct"/>
            <w:vAlign w:val="center"/>
          </w:tcPr>
          <w:p>
            <w:pPr>
              <w:jc w:val="center"/>
            </w:pPr>
            <w:r>
              <w:rPr/>
              <w:t xml:space="preserve">2.104,87 €</w:t>
            </w:r>
          </w:p>
        </w:tc>
      </w:tr>
    </w:tbl>
    <w:tbl>
      <w:tblGrid>
        <w:gridCol w:w="52350" w:type="dxa"/>
        <w:gridCol w:w="210450" w:type="dxa"/>
        <w:gridCol w:w="241950" w:type="dxa"/>
      </w:tblGrid>
      <w:tblPr>
        <w:tblW w:w="495300" w:type="pct"/>
        <w:tblLayout w:type="autofit"/>
        <w:bidiVisual w:val="0"/>
      </w:tblPr>
      <w:tr>
        <w:trPr>
          <w:tblHeader w:val="1"/>
        </w:trPr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Titulo</w:t>
            </w:r>
          </w:p>
        </w:tc>
        <w:tc>
          <w:tcPr>
            <w:tcW w:w="24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07/07/2023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Acuerdo Dedicación Concejales </w:t>
            </w:r>
          </w:p>
        </w:tc>
        <w:tc>
          <w:tcPr>
            <w:tcW w:w="241950" w:type="pct"/>
          </w:tcPr>
          <w:p>
            <w:pPr/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23/06/2023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Nombramientos (Acta Convocatoria)</w:t>
            </w:r>
          </w:p>
        </w:tc>
        <w:tc>
          <w:tcPr>
            <w:tcW w:w="241950" w:type="pct"/>
          </w:tcPr>
          <w:p>
            <w:pPr/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17/06/2023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Acta Constitutiva (Nombramientos Concejales)</w:t>
            </w:r>
          </w:p>
        </w:tc>
        <w:tc>
          <w:tcPr>
            <w:tcW w:w="241950" w:type="pct"/>
          </w:tcPr>
          <w:p>
            <w:pPr/>
          </w:p>
        </w:tc>
      </w:tr>
      <w:tr>
        <w:trPr/>
        <w:tc>
          <w:tcPr>
            <w:tcW w:w="52350" w:type="pct"/>
            <w:vAlign w:val="center"/>
          </w:tcPr>
          <w:p>
            <w:pPr>
              <w:jc w:val="center"/>
            </w:pPr>
            <w:r>
              <w:rPr/>
              <w:t xml:space="preserve">31/12/20222</w:t>
            </w:r>
          </w:p>
        </w:tc>
        <w:tc>
          <w:tcPr>
            <w:tcW w:w="210450" w:type="pct"/>
            <w:vAlign w:val="center"/>
          </w:tcPr>
          <w:p>
            <w:pPr>
              <w:jc w:val="center"/>
            </w:pPr>
            <w:r>
              <w:rPr/>
              <w:t xml:space="preserve">Histórico de retribuciones (Legislatura 2019-2023)</w:t>
            </w:r>
          </w:p>
        </w:tc>
        <w:tc>
          <w:tcPr>
            <w:tcW w:w="241950" w:type="pct"/>
          </w:tcPr>
          <w:p>
            <w:pPr/>
          </w:p>
        </w:tc>
      </w:tr>
    </w:tbl>
    <w:p>
      <w:pPr/>
    </w:p>
    <w:tbl>
      <w:tblGrid>
        <w:gridCol w:w="179550" w:type="dxa"/>
        <w:gridCol w:w="320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9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El importe de las indemnizaciones por asistencias a Comisiones y Plenos de aquellos concejales que formen parte y que no tengan dedicación exclusiva ni dedicación parcial queda establecida en: 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 a Plenos: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120,00€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Asistencias a Juntas de Gobierno Local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120,00€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Asistencias a Comisiones Informativas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85,00€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 Asistencias a la Junta Rectora de Toxicomanía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85,00€</w:t>
            </w:r>
          </w:p>
        </w:tc>
      </w:tr>
      <w:tr>
        <w:trPr/>
        <w:tc>
          <w:tcPr>
            <w:tcW w:w="179550" w:type="pct"/>
            <w:vAlign w:val="center"/>
          </w:tcPr>
          <w:p>
            <w:pPr>
              <w:jc w:val="center"/>
            </w:pPr>
            <w:r>
              <w:rPr/>
              <w:t xml:space="preserve">Asistencia a Mesas de Contratación</w:t>
            </w:r>
          </w:p>
        </w:tc>
        <w:tc>
          <w:tcPr>
            <w:tcW w:w="320150" w:type="pct"/>
            <w:vAlign w:val="center"/>
          </w:tcPr>
          <w:p>
            <w:pPr>
              <w:jc w:val="center"/>
            </w:pPr>
            <w:r>
              <w:rPr/>
              <w:t xml:space="preserve">60,00€</w:t>
            </w:r>
          </w:p>
        </w:tc>
      </w:tr>
      <w:tr>
        <w:trPr/>
        <w:tc>
          <w:tcPr>
            <w:tcW w:w="499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 los supuestos de que en el mismo día se celebren más de una comisión o pleno, solo se abonara uno.</w:t>
            </w:r>
          </w:p>
        </w:tc>
      </w:tr>
    </w:tbl>
    <w:p>
      <w:pPr/>
      <w:r>
        <w:rPr/>
        <w:t xml:space="preserve">   </w:t>
      </w:r>
    </w:p>
    <w:p>
      <w:pPr>
        <w:pStyle w:val="Heading4"/>
      </w:pPr>
      <w:r>
        <w:rPr/>
        <w:t xml:space="preserve">Atenciones protocolarias</w:t>
      </w:r>
    </w:p>
    <w:p>
      <w:pPr/>
      <w:r>
        <w:rPr/>
        <w:t xml:space="preserve"> </w:t>
      </w:r>
    </w:p>
    <w:p>
      <w:pPr/>
      <w:r>
        <w:rPr/>
        <w:t xml:space="preserve">Atenciones protocolarias 2025 -: </w:t>
      </w:r>
      <w:r>
        <w:rPr>
          <w:b w:val="1"/>
          <w:bCs w:val="1"/>
          <w:i w:val="1"/>
          <w:iCs w:val="1"/>
        </w:rPr>
        <w:t xml:space="preserve">No hay gastos durante el ejercicio 2025</w:t>
      </w:r>
    </w:p>
    <w:p>
      <w:pPr/>
      <w:r>
        <w:rPr/>
        <w:t xml:space="preserve"> </w:t>
      </w:r>
    </w:p>
    <w:p>
      <w:pPr/>
      <w:r>
        <w:rPr/>
        <w:t xml:space="preserve">Atenciones protocolarias 2024 - Gastos Representación: No hay gastos durante el ejercicio 2024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Compatibilidades</w:t>
      </w:r>
    </w:p>
    <w:p>
      <w:pPr/>
      <w:r>
        <w:rPr/>
        <w:t xml:space="preserve"> </w:t>
      </w:r>
    </w:p>
    <w:p>
      <w:pPr/>
      <w:r>
        <w:rPr/>
        <w:t xml:space="preserve">Acceso en el .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Indemnizaciones o resoluciones al cese de los cargos </w:t>
      </w:r>
    </w:p>
    <w:p>
      <w:pPr/>
      <w:r>
        <w:rPr/>
        <w:t xml:space="preserve"> </w:t>
      </w:r>
    </w:p>
    <w:p>
      <w:pPr/>
      <w:r>
        <w:rPr/>
        <w:t xml:space="preserve">El Ayuntamiento de Gáldar no ha concedido indemnizaciones por ocasión del abandono del cargo durante el ejercicio 2021, 2022, 2023, 2024 y . 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2026-10-08T23:17:28+00:00</dcterms:created>
  <dcterms:modified xsi:type="dcterms:W3CDTF">2026-10-08T23:17:28+00:00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