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24100" w:type="dxa"/>
        <w:gridCol w:w="308200" w:type="dxa"/>
        <w:gridCol w:w="32450" w:type="dxa"/>
      </w:tblGrid>
      <w:tblPr>
        <w:tblW w:w="1750" w:type="pct"/>
        <w:tblLayout w:type="autofit"/>
        <w:bidiVisual w:val="0"/>
      </w:tblPr>
      <w:tr>
        <w:trPr>
          <w:tblHeader w:val="1"/>
        </w:trPr>
        <w:tc>
          <w:tcPr>
            <w:tcW w:w="424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0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1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424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  <w:tr>
        <w:trPr/>
        <w:tc>
          <w:tcPr>
            <w:tcW w:w="424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08200" w:type="pct"/>
            <w:vAlign w:val="center"/>
          </w:tcPr>
          <w:p>
            <w:pPr>
              <w:jc w:val="center"/>
            </w:pPr>
            <w:r>
              <w:rPr/>
              <w:t xml:space="preserve">Datos estadísticos de contratos</w:t>
            </w:r>
          </w:p>
        </w:tc>
        <w:tc>
          <w:tcPr>
            <w:tcW w:w="32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2026-05-26T13:38:58+00:00</dcterms:created>
  <dcterms:modified xsi:type="dcterms:W3CDTF">2026-05-26T13:38:58+00:00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