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Al objeto de dar cumplimiento a los Indicadores de la Ley Canaria de Transparencia y de acceso a la información pública (Ley 12/2014, de 26 de diciembre) en su apartado 17. Estadística. 1195 "Información estadística necesaria para valorar el grado de cumplimiento y calidad de los servicios públicos que sean de su competencia", el Ayuntamiento de Gáldar, pone en conocimiento de la ciudadanía del municipio y del público en general, que esta administración ni durante los ejercicios</w:t>
      </w:r>
      <w:r>
        <w:rPr>
          <w:b w:val="1"/>
          <w:bCs w:val="1"/>
        </w:rPr>
        <w:t xml:space="preserve"> 2021, 2022 , 2023, 2024</w:t>
      </w:r>
      <w:r>
        <w:rPr/>
        <w:t xml:space="preserve"> y </w:t>
      </w:r>
      <w:r>
        <w:rPr>
          <w:b w:val="1"/>
          <w:bCs w:val="1"/>
        </w:rPr>
        <w:t xml:space="preserve">2025 ha aplicado ningún  protocolo de revisión del grado de cumplimiento ni de calidad de los servicios públicos y por tanto no existe tal información.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2026-05-27T21:20:02+00:00</dcterms:created>
  <dcterms:modified xsi:type="dcterms:W3CDTF">2026-05-27T21:20:02+00:00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