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50" w:type="dxa"/>
        <w:gridCol w:w="384100" w:type="dxa"/>
        <w:gridCol w:w="498050" w:type="dxa"/>
      </w:tblGrid>
      <w:tblPr>
        <w:tblW w:w="750" w:type="pct"/>
        <w:tblLayout w:type="autofit"/>
        <w:bidiVisual w:val="0"/>
      </w:tblPr>
      <w:tr>
        <w:trPr>
          <w:tblHeader w:val="1"/>
        </w:trPr>
        <w:tc>
          <w:tcPr>
            <w:tcW w:w="263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84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8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31/12/2025</w:t>
            </w:r>
          </w:p>
        </w:tc>
        <w:tc>
          <w:tcPr>
            <w:tcW w:w="384100" w:type="pct"/>
          </w:tcPr>
          <w:p>
            <w:pPr/>
            <w:r>
              <w:rPr/>
              <w:t xml:space="preserve">Estado del remanente de la tesorería 2025</w:t>
            </w:r>
          </w:p>
        </w:tc>
        <w:tc>
          <w:tcPr>
            <w:tcW w:w="498050" w:type="pct"/>
          </w:tcPr>
          <w:p>
            <w:pPr/>
          </w:p>
          <w:p>
            <w:pPr/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31/12/2024</w:t>
            </w:r>
          </w:p>
        </w:tc>
        <w:tc>
          <w:tcPr>
            <w:tcW w:w="384100" w:type="pct"/>
          </w:tcPr>
          <w:p>
            <w:pPr/>
            <w:r>
              <w:rPr/>
              <w:t xml:space="preserve">Estado del remanente de la tesorería 2024</w:t>
            </w:r>
          </w:p>
        </w:tc>
        <w:tc>
          <w:tcPr>
            <w:tcW w:w="498050" w:type="pct"/>
          </w:tcPr>
          <w:p>
            <w:pPr/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15/03/2024</w:t>
            </w:r>
          </w:p>
        </w:tc>
        <w:tc>
          <w:tcPr>
            <w:tcW w:w="384100" w:type="pct"/>
          </w:tcPr>
          <w:p>
            <w:pPr/>
            <w:r>
              <w:rPr/>
              <w:t xml:space="preserve">Estado del remanente de la tesorería 2023</w:t>
            </w:r>
          </w:p>
        </w:tc>
        <w:tc>
          <w:tcPr>
            <w:tcW w:w="498050" w:type="pct"/>
          </w:tcPr>
          <w:p>
            <w:pPr/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15/03/2024</w:t>
            </w:r>
          </w:p>
        </w:tc>
        <w:tc>
          <w:tcPr>
            <w:tcW w:w="384100" w:type="pct"/>
          </w:tcPr>
          <w:p>
            <w:pPr/>
            <w:r>
              <w:rPr/>
              <w:t xml:space="preserve">Situación de remanentes de crédito por aplicaciones 2023</w:t>
            </w:r>
          </w:p>
        </w:tc>
        <w:tc>
          <w:tcPr>
            <w:tcW w:w="498050" w:type="pct"/>
          </w:tcPr>
          <w:p>
            <w:pPr/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10/04/2023</w:t>
            </w:r>
          </w:p>
        </w:tc>
        <w:tc>
          <w:tcPr>
            <w:tcW w:w="384100" w:type="pct"/>
          </w:tcPr>
          <w:p>
            <w:pPr/>
            <w:r>
              <w:rPr/>
              <w:t xml:space="preserve">Estado del remanente de la tesorería 2022</w:t>
            </w:r>
          </w:p>
        </w:tc>
        <w:tc>
          <w:tcPr>
            <w:tcW w:w="498050" w:type="pct"/>
          </w:tcPr>
          <w:p>
            <w:pPr/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10/04/2023</w:t>
            </w:r>
          </w:p>
        </w:tc>
        <w:tc>
          <w:tcPr>
            <w:tcW w:w="384100" w:type="pct"/>
          </w:tcPr>
          <w:p>
            <w:pPr/>
            <w:r>
              <w:rPr/>
              <w:t xml:space="preserve">Situación de remanentes de crédito por aplicaciones 2022</w:t>
            </w:r>
          </w:p>
        </w:tc>
        <w:tc>
          <w:tcPr>
            <w:tcW w:w="498050" w:type="pct"/>
          </w:tcPr>
          <w:p>
            <w:pPr/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07/03/2022</w:t>
            </w:r>
          </w:p>
        </w:tc>
        <w:tc>
          <w:tcPr>
            <w:tcW w:w="384100" w:type="pct"/>
          </w:tcPr>
          <w:p>
            <w:pPr/>
            <w:r>
              <w:rPr/>
              <w:t xml:space="preserve">Estado del remanente de la tesoreria 2021</w:t>
            </w:r>
          </w:p>
        </w:tc>
        <w:tc>
          <w:tcPr>
            <w:tcW w:w="498050" w:type="pct"/>
          </w:tcPr>
          <w:p>
            <w:pPr/>
          </w:p>
        </w:tc>
      </w:tr>
      <w:tr>
        <w:trPr/>
        <w:tc>
          <w:tcPr>
            <w:tcW w:w="26350" w:type="pct"/>
            <w:gridSpan w:val="2"/>
          </w:tcPr>
          <w:p>
            <w:pPr/>
            <w:r>
              <w:rPr/>
              <w:t xml:space="preserve">07/03/2022</w:t>
            </w:r>
          </w:p>
        </w:tc>
        <w:tc>
          <w:tcPr>
            <w:tcW w:w="384100" w:type="pct"/>
          </w:tcPr>
          <w:p>
            <w:pPr/>
            <w:r>
              <w:rPr/>
              <w:t xml:space="preserve">Situación remanentes de crédito por aplicaciones 2021</w:t>
            </w:r>
          </w:p>
        </w:tc>
        <w:tc>
          <w:tcPr>
            <w:tcW w:w="4980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2026-10-11T00:12:22+00:00</dcterms:created>
  <dcterms:modified xsi:type="dcterms:W3CDTF">2026-10-11T00:12:22+00:00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