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300" w:type="dxa"/>
        <w:gridCol w:w="248950" w:type="dxa"/>
        <w:gridCol w:w="3852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385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 </w:t>
            </w:r>
          </w:p>
        </w:tc>
        <w:tc>
          <w:tcPr>
            <w:tcW w:w="385200" w:type="pct"/>
          </w:tcPr>
          <w:p>
            <w:pPr/>
          </w:p>
        </w:tc>
      </w:tr>
      <w:tr>
        <w:trPr/>
        <w:tc>
          <w:tcPr>
            <w:tcW w:w="346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48950" w:type="pct"/>
            <w:vAlign w:val="center"/>
          </w:tcPr>
          <w:p>
            <w:pPr>
              <w:jc w:val="center"/>
            </w:pPr>
            <w:r>
              <w:rPr/>
              <w:t xml:space="preserve">Normativa donde se recoge cómo se retribuyen los viajes, la manutención, alojamiento y asistencia a órganos colegiados o sociales </w:t>
            </w:r>
          </w:p>
        </w:tc>
        <w:tc>
          <w:tcPr>
            <w:tcW w:w="385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2026-10-11T00:12:53+00:00</dcterms:created>
  <dcterms:modified xsi:type="dcterms:W3CDTF">2026-10-11T00:12:53+00:00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