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700" w:type="dxa"/>
        <w:gridCol w:w="281700" w:type="dxa"/>
        <w:gridCol w:w="4066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3407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81700" w:type="pct"/>
            <w:vAlign w:val="center"/>
          </w:tcPr>
          <w:p>
            <w:pPr>
              <w:jc w:val="center"/>
            </w:pPr>
            <w:r>
              <w:rPr/>
              <w:t xml:space="preserve">Titulo</w:t>
            </w:r>
          </w:p>
        </w:tc>
        <w:tc>
          <w:tcPr>
            <w:tcW w:w="406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0700" w:type="pct"/>
            <w:vAlign w:val="center"/>
          </w:tcPr>
          <w:p>
            <w:pPr>
              <w:jc w:val="center"/>
            </w:pPr>
            <w:r>
              <w:rPr/>
              <w:t xml:space="preserve">31-12-2025</w:t>
            </w:r>
          </w:p>
        </w:tc>
        <w:tc>
          <w:tcPr>
            <w:tcW w:w="281700" w:type="pct"/>
            <w:vAlign w:val="center"/>
          </w:tcPr>
          <w:p>
            <w:pPr>
              <w:jc w:val="center"/>
            </w:pPr>
            <w:r>
              <w:rPr/>
              <w:t xml:space="preserve">Inexistencia de resoluciones desestimatorias en 2025 </w:t>
            </w:r>
          </w:p>
        </w:tc>
        <w:tc>
          <w:tcPr>
            <w:tcW w:w="406600" w:type="pct"/>
          </w:tcPr>
          <w:p>
            <w:pPr/>
          </w:p>
        </w:tc>
      </w:tr>
      <w:tr>
        <w:trPr/>
        <w:tc>
          <w:tcPr>
            <w:tcW w:w="340700" w:type="pct"/>
            <w:vAlign w:val="center"/>
          </w:tcPr>
          <w:p>
            <w:pPr>
              <w:jc w:val="center"/>
            </w:pPr>
            <w:r>
              <w:rPr/>
              <w:t xml:space="preserve">31-12-2024</w:t>
            </w:r>
          </w:p>
        </w:tc>
        <w:tc>
          <w:tcPr>
            <w:tcW w:w="281700" w:type="pct"/>
            <w:vAlign w:val="center"/>
          </w:tcPr>
          <w:p>
            <w:pPr>
              <w:jc w:val="center"/>
            </w:pPr>
            <w:r>
              <w:rPr/>
              <w:t xml:space="preserve">Inexistencia de resoluciones desestimatorias en 2024 </w:t>
            </w:r>
          </w:p>
        </w:tc>
        <w:tc>
          <w:tcPr>
            <w:tcW w:w="406600" w:type="pct"/>
          </w:tcPr>
          <w:p>
            <w:pPr/>
          </w:p>
        </w:tc>
      </w:tr>
      <w:tr>
        <w:trPr/>
        <w:tc>
          <w:tcPr>
            <w:tcW w:w="340700" w:type="pct"/>
            <w:vAlign w:val="center"/>
          </w:tcPr>
          <w:p>
            <w:pPr>
              <w:jc w:val="center"/>
            </w:pPr>
            <w:r>
              <w:rPr/>
              <w:t xml:space="preserve">17-10-2023</w:t>
            </w:r>
          </w:p>
        </w:tc>
        <w:tc>
          <w:tcPr>
            <w:tcW w:w="281700" w:type="pct"/>
            <w:vAlign w:val="center"/>
          </w:tcPr>
          <w:p>
            <w:pPr>
              <w:jc w:val="center"/>
            </w:pPr>
            <w:r>
              <w:rPr/>
              <w:t xml:space="preserve">Inexistencia de resoluciones desestimatorias en 2023</w:t>
            </w:r>
          </w:p>
        </w:tc>
        <w:tc>
          <w:tcPr>
            <w:tcW w:w="406600" w:type="pct"/>
          </w:tcPr>
          <w:p>
            <w:pPr/>
          </w:p>
        </w:tc>
      </w:tr>
      <w:tr>
        <w:trPr/>
        <w:tc>
          <w:tcPr>
            <w:tcW w:w="340700" w:type="pct"/>
            <w:vAlign w:val="center"/>
          </w:tcPr>
          <w:p>
            <w:pPr>
              <w:jc w:val="center"/>
            </w:pPr>
            <w:r>
              <w:rPr/>
              <w:t xml:space="preserve">31-12-2022</w:t>
            </w:r>
          </w:p>
        </w:tc>
        <w:tc>
          <w:tcPr>
            <w:tcW w:w="281700" w:type="pct"/>
            <w:vAlign w:val="center"/>
          </w:tcPr>
          <w:p>
            <w:pPr>
              <w:jc w:val="center"/>
            </w:pPr>
            <w:r>
              <w:rPr/>
              <w:t xml:space="preserve">Inexistencia de resoluciones desestimatorias en 2022</w:t>
            </w:r>
          </w:p>
        </w:tc>
        <w:tc>
          <w:tcPr>
            <w:tcW w:w="406600" w:type="pct"/>
          </w:tcPr>
          <w:p>
            <w:pPr/>
          </w:p>
        </w:tc>
      </w:tr>
      <w:tr>
        <w:trPr/>
        <w:tc>
          <w:tcPr>
            <w:tcW w:w="340700" w:type="pct"/>
            <w:vAlign w:val="center"/>
          </w:tcPr>
          <w:p>
            <w:pPr>
              <w:jc w:val="center"/>
            </w:pPr>
            <w:r>
              <w:rPr/>
              <w:t xml:space="preserve">31-12-2021</w:t>
            </w:r>
          </w:p>
        </w:tc>
        <w:tc>
          <w:tcPr>
            <w:tcW w:w="281700" w:type="pct"/>
            <w:vAlign w:val="center"/>
          </w:tcPr>
          <w:p>
            <w:pPr>
              <w:jc w:val="center"/>
            </w:pPr>
            <w:r>
              <w:rPr/>
              <w:t xml:space="preserve">Inexistencia de resoluciones desestimatorias en 2021</w:t>
            </w:r>
          </w:p>
        </w:tc>
        <w:tc>
          <w:tcPr>
            <w:tcW w:w="406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2026-05-26T13:38:59+00:00</dcterms:created>
  <dcterms:modified xsi:type="dcterms:W3CDTF">2026-05-26T13:38:59+00:00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