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Galdar dispone de un procedimiento en la Sede Electronica a través del cual los interesados pueden comunicar una queja o sugerencia. El procedimiento esta disponíble en el "Catálogo de trámites" de la sede. </w:t>
      </w:r>
    </w:p>
    <w:p>
      <w:pPr>
        <w:pStyle w:val="Heading4"/>
      </w:pPr>
      <w:r>
        <w:rPr/>
        <w:t xml:space="preserve"> </w:t>
      </w:r>
    </w:p>
    <w:p>
      <w:pPr>
        <w:pStyle w:val="Heading5"/>
      </w:pPr>
      <w:r>
        <w:rPr/>
        <w:t xml:space="preserve">Estadisticas de las quejas y sugerencias emitidas </w:t>
      </w:r>
    </w:p>
    <w:p>
      <w:pPr/>
      <w:r>
        <w:rPr/>
        <w:t xml:space="preserve"> </w:t>
      </w:r>
    </w:p>
    <w:tbl>
      <w:tblGrid>
        <w:gridCol w:w="458850" w:type="dxa"/>
        <w:gridCol w:w="71800" w:type="dxa"/>
        <w:gridCol w:w="18750" w:type="dxa"/>
        <w:gridCol w:w="478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8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7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875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478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2026-07-10T19:03:28+00:00</dcterms:created>
  <dcterms:modified xsi:type="dcterms:W3CDTF">2026-07-10T19:03:28+00:00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