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19"/>
        <w:rPr>
          <w:rFonts w:ascii="Times New Roman"/>
        </w:rPr>
      </w:pPr>
    </w:p>
    <w:p>
      <w:pPr>
        <w:spacing w:before="0"/>
        <w:ind w:left="102" w:right="0" w:firstLine="0"/>
        <w:jc w:val="left"/>
        <w:rPr>
          <w:sz w:val="22"/>
        </w:rPr>
      </w:pPr>
      <w:r>
        <w:rPr>
          <w:b/>
          <w:sz w:val="22"/>
        </w:rPr>
        <w:t>Expte.:</w:t>
      </w:r>
      <w:r>
        <w:rPr>
          <w:b/>
          <w:spacing w:val="-7"/>
          <w:sz w:val="22"/>
        </w:rPr>
        <w:t> </w:t>
      </w:r>
      <w:r>
        <w:rPr>
          <w:spacing w:val="-2"/>
          <w:sz w:val="22"/>
        </w:rPr>
        <w:t>19339/2023</w:t>
      </w:r>
    </w:p>
    <w:p>
      <w:pPr>
        <w:pStyle w:val="BodyText"/>
        <w:tabs>
          <w:tab w:pos="1352" w:val="left" w:leader="none"/>
          <w:tab w:pos="2881" w:val="left" w:leader="none"/>
          <w:tab w:pos="3507" w:val="left" w:leader="none"/>
          <w:tab w:pos="4764" w:val="left" w:leader="none"/>
          <w:tab w:pos="5332" w:val="left" w:leader="none"/>
          <w:tab w:pos="6095" w:val="left" w:leader="none"/>
          <w:tab w:pos="7622" w:val="left" w:leader="none"/>
        </w:tabs>
        <w:spacing w:line="362" w:lineRule="auto" w:before="133"/>
        <w:ind w:left="102" w:right="735"/>
      </w:pPr>
      <w:r>
        <w:rPr>
          <w:b/>
          <w:spacing w:val="-2"/>
        </w:rPr>
        <w:t>Asunto:</w:t>
      </w:r>
      <w:r>
        <w:rPr>
          <w:b/>
        </w:rPr>
        <w:tab/>
      </w:r>
      <w:r>
        <w:rPr>
          <w:spacing w:val="-2"/>
        </w:rPr>
        <w:t>Aprobación</w:t>
      </w:r>
      <w:r>
        <w:rPr/>
        <w:tab/>
      </w:r>
      <w:r>
        <w:rPr>
          <w:spacing w:val="-4"/>
        </w:rPr>
        <w:t>del</w:t>
      </w:r>
      <w:r>
        <w:rPr/>
        <w:tab/>
      </w:r>
      <w:r>
        <w:rPr>
          <w:spacing w:val="-2"/>
        </w:rPr>
        <w:t>proyecto</w:t>
      </w:r>
      <w:r>
        <w:rPr/>
        <w:tab/>
      </w:r>
      <w:r>
        <w:rPr>
          <w:spacing w:val="-6"/>
        </w:rPr>
        <w:t>de</w:t>
      </w:r>
      <w:r>
        <w:rPr/>
        <w:tab/>
      </w:r>
      <w:r>
        <w:rPr>
          <w:spacing w:val="-4"/>
        </w:rPr>
        <w:t>Plan</w:t>
      </w:r>
      <w:r>
        <w:rPr/>
        <w:tab/>
      </w:r>
      <w:r>
        <w:rPr>
          <w:spacing w:val="-2"/>
        </w:rPr>
        <w:t>Estratégico</w:t>
      </w:r>
      <w:r>
        <w:rPr/>
        <w:tab/>
      </w:r>
      <w:r>
        <w:rPr>
          <w:spacing w:val="-6"/>
        </w:rPr>
        <w:t>de </w:t>
      </w:r>
      <w:r>
        <w:rPr/>
        <w:t>subvenciones para el ejercicio 2024.</w:t>
      </w:r>
    </w:p>
    <w:p>
      <w:pPr>
        <w:pStyle w:val="BodyText"/>
        <w:spacing w:before="130"/>
      </w:pPr>
    </w:p>
    <w:p>
      <w:pPr>
        <w:pStyle w:val="Heading1"/>
        <w:spacing w:line="600" w:lineRule="auto"/>
        <w:ind w:right="363" w:firstLine="1077"/>
      </w:pPr>
      <w:r>
        <w:rPr/>
        <w:t>PLAN</w:t>
      </w:r>
      <w:r>
        <w:rPr>
          <w:spacing w:val="-11"/>
        </w:rPr>
        <w:t> </w:t>
      </w:r>
      <w:r>
        <w:rPr/>
        <w:t>ESTRATÉGICO</w:t>
      </w:r>
      <w:r>
        <w:rPr>
          <w:spacing w:val="-12"/>
        </w:rPr>
        <w:t> </w:t>
      </w:r>
      <w:r>
        <w:rPr/>
        <w:t>DE</w:t>
      </w:r>
      <w:r>
        <w:rPr>
          <w:spacing w:val="-11"/>
        </w:rPr>
        <w:t> </w:t>
      </w:r>
      <w:r>
        <w:rPr/>
        <w:t>SUBVENCIONES </w:t>
      </w:r>
      <w:r>
        <w:rPr>
          <w:spacing w:val="-2"/>
        </w:rPr>
        <w:t>PREÁMBULO</w:t>
      </w:r>
    </w:p>
    <w:p>
      <w:pPr>
        <w:pStyle w:val="BodyText"/>
        <w:spacing w:line="360" w:lineRule="auto" w:before="1"/>
        <w:ind w:left="102" w:right="734" w:firstLine="695"/>
        <w:jc w:val="both"/>
      </w:pPr>
      <w:r>
        <w:rPr/>
        <w:t>Según la Exposición de Motivos de la Ley 38/2003, de 17 de noviembre, General de Subvenciones, una parte importante de la actividad financiera del sector público se canaliza a través de subvenciones, con el objeto de dar respuesta, con medidas de apoyo financiero, a demandas sociales y económicas de personas y entidades públicas o privadas.</w:t>
      </w:r>
    </w:p>
    <w:p>
      <w:pPr>
        <w:pStyle w:val="BodyText"/>
      </w:pPr>
    </w:p>
    <w:p>
      <w:pPr>
        <w:pStyle w:val="BodyText"/>
        <w:spacing w:line="360" w:lineRule="auto"/>
        <w:ind w:left="102" w:right="732" w:firstLine="695"/>
        <w:jc w:val="both"/>
      </w:pPr>
      <w:r>
        <w:rPr/>
        <w:t>Desde la perspectiva económica, las subvenciones son una modalidad importante de gasto público y, por tanto, deben ajustarse a las directrices de la política presupuestaria, actualmente orientada por los criterios de estabilidad presupuestaria y crecimiento </w:t>
      </w:r>
      <w:r>
        <w:rPr>
          <w:spacing w:val="-2"/>
        </w:rPr>
        <w:t>económico.</w:t>
      </w:r>
    </w:p>
    <w:p>
      <w:pPr>
        <w:pStyle w:val="BodyText"/>
      </w:pPr>
    </w:p>
    <w:p>
      <w:pPr>
        <w:pStyle w:val="BodyText"/>
        <w:spacing w:line="360" w:lineRule="auto"/>
        <w:ind w:left="102" w:right="733" w:firstLine="695"/>
        <w:jc w:val="both"/>
      </w:pPr>
      <w:r>
        <w:rPr/>
        <w:t>Desde</w:t>
      </w:r>
      <w:r>
        <w:rPr>
          <w:spacing w:val="-1"/>
        </w:rPr>
        <w:t> </w:t>
      </w:r>
      <w:r>
        <w:rPr/>
        <w:t>esta perspectiva la Ley</w:t>
      </w:r>
      <w:r>
        <w:rPr>
          <w:spacing w:val="-1"/>
        </w:rPr>
        <w:t> </w:t>
      </w:r>
      <w:r>
        <w:rPr/>
        <w:t>General de Subvenciones supone un paso más en el proceso de racionalización de nuestro sistema económico incardinándose en el conjunto de medidas y reformas que se han venido instrumentando con esta finalidad. Uno de los principios que rigen esta ley, recogido también en la normativa de estabilidad presupuestaria, es el de transparencia. Con este objeto</w:t>
      </w:r>
      <w:r>
        <w:rPr>
          <w:spacing w:val="80"/>
        </w:rPr>
        <w:t> </w:t>
      </w:r>
      <w:r>
        <w:rPr/>
        <w:t>las Administraciones deberán hacer públicas las subvenciones que concedan, y, a la vez, la ley establece la obligación de formar una base</w:t>
      </w:r>
      <w:r>
        <w:rPr>
          <w:spacing w:val="-3"/>
        </w:rPr>
        <w:t> </w:t>
      </w:r>
      <w:r>
        <w:rPr/>
        <w:t>de</w:t>
      </w:r>
      <w:r>
        <w:rPr>
          <w:spacing w:val="-3"/>
        </w:rPr>
        <w:t> </w:t>
      </w:r>
      <w:r>
        <w:rPr/>
        <w:t>datos</w:t>
      </w:r>
      <w:r>
        <w:rPr>
          <w:spacing w:val="-4"/>
        </w:rPr>
        <w:t> </w:t>
      </w:r>
      <w:r>
        <w:rPr/>
        <w:t>de</w:t>
      </w:r>
      <w:r>
        <w:rPr>
          <w:spacing w:val="-3"/>
        </w:rPr>
        <w:t> </w:t>
      </w:r>
      <w:r>
        <w:rPr/>
        <w:t>ámbito</w:t>
      </w:r>
      <w:r>
        <w:rPr>
          <w:spacing w:val="-4"/>
        </w:rPr>
        <w:t> </w:t>
      </w:r>
      <w:r>
        <w:rPr/>
        <w:t>nacional</w:t>
      </w:r>
      <w:r>
        <w:rPr>
          <w:spacing w:val="-5"/>
        </w:rPr>
        <w:t> </w:t>
      </w:r>
      <w:r>
        <w:rPr/>
        <w:t>que</w:t>
      </w:r>
      <w:r>
        <w:rPr>
          <w:spacing w:val="-4"/>
        </w:rPr>
        <w:t> </w:t>
      </w:r>
      <w:r>
        <w:rPr/>
        <w:t>contenga</w:t>
      </w:r>
      <w:r>
        <w:rPr>
          <w:spacing w:val="-5"/>
        </w:rPr>
        <w:t> </w:t>
      </w:r>
      <w:r>
        <w:rPr/>
        <w:t>información</w:t>
      </w:r>
      <w:r>
        <w:rPr>
          <w:spacing w:val="-4"/>
        </w:rPr>
        <w:t> </w:t>
      </w:r>
      <w:r>
        <w:rPr/>
        <w:t>relevante sobre todas las subvenciones concedidas.</w:t>
      </w:r>
    </w:p>
    <w:p>
      <w:pPr>
        <w:pStyle w:val="BodyText"/>
        <w:rPr>
          <w:sz w:val="20"/>
        </w:rPr>
      </w:pPr>
    </w:p>
    <w:p>
      <w:pPr>
        <w:pStyle w:val="BodyText"/>
        <w:rPr>
          <w:sz w:val="20"/>
        </w:rPr>
      </w:pPr>
    </w:p>
    <w:p>
      <w:pPr>
        <w:pStyle w:val="BodyText"/>
        <w:rPr>
          <w:sz w:val="20"/>
        </w:rPr>
      </w:pPr>
    </w:p>
    <w:p>
      <w:pPr>
        <w:pStyle w:val="BodyText"/>
        <w:spacing w:before="96"/>
        <w:rPr>
          <w:sz w:val="20"/>
        </w:rPr>
      </w:pPr>
      <w:r>
        <w:rPr/>
        <w:drawing>
          <wp:anchor distT="0" distB="0" distL="0" distR="0" allowOverlap="1" layoutInCell="1" locked="0" behindDoc="1" simplePos="0" relativeHeight="487587840">
            <wp:simplePos x="0" y="0"/>
            <wp:positionH relativeFrom="page">
              <wp:posOffset>1906735</wp:posOffset>
            </wp:positionH>
            <wp:positionV relativeFrom="paragraph">
              <wp:posOffset>230547</wp:posOffset>
            </wp:positionV>
            <wp:extent cx="4350677" cy="314325"/>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350677" cy="314325"/>
                    </a:xfrm>
                    <a:prstGeom prst="rect">
                      <a:avLst/>
                    </a:prstGeom>
                  </pic:spPr>
                </pic:pic>
              </a:graphicData>
            </a:graphic>
          </wp:anchor>
        </w:drawing>
      </w:r>
    </w:p>
    <w:p>
      <w:pPr>
        <w:spacing w:after="0"/>
        <w:rPr>
          <w:sz w:val="20"/>
        </w:rPr>
        <w:sectPr>
          <w:headerReference w:type="default" r:id="rId5"/>
          <w:type w:val="continuous"/>
          <w:pgSz w:w="11910" w:h="16840"/>
          <w:pgMar w:header="638" w:footer="0" w:top="2340" w:bottom="280" w:left="1600" w:right="1680"/>
          <w:pgNumType w:start="1"/>
        </w:sectPr>
      </w:pPr>
    </w:p>
    <w:p>
      <w:pPr>
        <w:pStyle w:val="BodyText"/>
        <w:spacing w:line="360" w:lineRule="auto" w:before="178"/>
        <w:ind w:left="102" w:right="735" w:firstLine="695"/>
        <w:jc w:val="both"/>
      </w:pPr>
      <w:r>
        <w:rPr/>
        <w:t>Esta mayor transparencia redunda de forma directa en un incremento de los niveles de eficiencia y eficacia en la gestión del gasto público subvencional.</w:t>
      </w:r>
    </w:p>
    <w:p>
      <w:pPr>
        <w:pStyle w:val="BodyText"/>
      </w:pPr>
    </w:p>
    <w:p>
      <w:pPr>
        <w:pStyle w:val="BodyText"/>
        <w:spacing w:line="360" w:lineRule="auto"/>
        <w:ind w:left="102" w:right="735" w:firstLine="695"/>
        <w:jc w:val="both"/>
      </w:pPr>
      <w:r>
        <w:rPr/>
        <w:t>En esta línea de mejora de la eficacia, la Ley 38/2003 establece, como elemento de gestión e instrumento de dicha mejora, la necesidad de elaborar en cada Administración Pública un plan estratégico de subvenciones que permita relacionar los objetivos a alcanzar y los efectos que se pretenden conseguir, con los costes previstos y su financiación, con objeto de adecuar las necesidades públicas a cubrir mediante las subvenciones, con los recursos disponibles, y todo ello con carácter previo a la concesión.</w:t>
      </w:r>
    </w:p>
    <w:p>
      <w:pPr>
        <w:pStyle w:val="BodyText"/>
      </w:pPr>
    </w:p>
    <w:p>
      <w:pPr>
        <w:pStyle w:val="BodyText"/>
        <w:spacing w:line="360" w:lineRule="auto"/>
        <w:ind w:left="102" w:right="735" w:firstLine="695"/>
        <w:jc w:val="both"/>
      </w:pPr>
      <w:r>
        <w:rPr/>
        <w:t>Además, la ley plantea un sistema de seguimiento a través del control y evaluación de objetivos, que debe permitir que aquellas líneas de subvenciones que no alcancen el nivel de consecución de objetivos deseado o que resulte adecuado al nivel de recursos invertidos, puedan ser modificadas o sustituidas por otras más eficaces y eficientes, o, en su caso, eliminadas.</w:t>
      </w:r>
    </w:p>
    <w:p>
      <w:pPr>
        <w:pStyle w:val="BodyText"/>
      </w:pPr>
    </w:p>
    <w:p>
      <w:pPr>
        <w:pStyle w:val="BodyText"/>
        <w:spacing w:line="360" w:lineRule="auto"/>
        <w:ind w:left="102" w:right="731" w:firstLine="695"/>
        <w:jc w:val="both"/>
      </w:pPr>
      <w:r>
        <w:rPr/>
        <w:t>Desde la perspectiva administrativa, las subvenciones son una técnica de fomento de determinados comportamientos considerados de interés general e incluso un procedimiento de colaboración entre</w:t>
      </w:r>
      <w:r>
        <w:rPr>
          <w:spacing w:val="80"/>
        </w:rPr>
        <w:t> </w:t>
      </w:r>
      <w:r>
        <w:rPr/>
        <w:t>la Administración pública y los particulares para la gestión de actividades de interés público.</w:t>
      </w:r>
    </w:p>
    <w:p>
      <w:pPr>
        <w:pStyle w:val="BodyText"/>
      </w:pPr>
    </w:p>
    <w:p>
      <w:pPr>
        <w:pStyle w:val="BodyText"/>
        <w:spacing w:line="360" w:lineRule="auto" w:before="1"/>
        <w:ind w:left="102" w:right="732" w:firstLine="695"/>
        <w:jc w:val="both"/>
      </w:pPr>
      <w:r>
        <w:rPr/>
        <w:t>Existe una gran diversidad de subvenciones de distinta naturaleza, que se conceden mediante procedimientos complejos, y, por lo tanto, deben ser objeto de un seguimiento y control eficaces.</w:t>
      </w:r>
    </w:p>
    <w:p>
      <w:pPr>
        <w:spacing w:after="0" w:line="360" w:lineRule="auto"/>
        <w:jc w:val="both"/>
        <w:sectPr>
          <w:headerReference w:type="default" r:id="rId7"/>
          <w:footerReference w:type="default" r:id="rId8"/>
          <w:pgSz w:w="11910" w:h="16840"/>
          <w:pgMar w:header="638" w:footer="825" w:top="2340" w:bottom="1020" w:left="1600" w:right="1680"/>
        </w:sectPr>
      </w:pPr>
    </w:p>
    <w:p>
      <w:pPr>
        <w:pStyle w:val="BodyText"/>
        <w:spacing w:line="360" w:lineRule="auto" w:before="178"/>
        <w:ind w:left="102" w:right="734" w:firstLine="695"/>
        <w:jc w:val="both"/>
      </w:pPr>
      <w:r>
        <w:rPr/>
        <w:t>Se configura así el plan estratégico como el complemento necesario para articular la concesión de subvenciones, con respeto a los principios de transparencia y equilibrio presupuestario.</w:t>
      </w:r>
    </w:p>
    <w:p>
      <w:pPr>
        <w:pStyle w:val="BodyText"/>
      </w:pPr>
    </w:p>
    <w:p>
      <w:pPr>
        <w:pStyle w:val="BodyText"/>
        <w:spacing w:line="360" w:lineRule="auto"/>
        <w:ind w:left="102" w:right="735" w:firstLine="695"/>
        <w:jc w:val="both"/>
      </w:pPr>
      <w:r>
        <w:rPr/>
        <w:t>El Plan Estratégico de Subvenciones del Ayuntamiento de Gáldar se estructura sobre lo siguiente:</w:t>
      </w:r>
    </w:p>
    <w:p>
      <w:pPr>
        <w:pStyle w:val="BodyText"/>
        <w:spacing w:before="1"/>
      </w:pPr>
    </w:p>
    <w:p>
      <w:pPr>
        <w:spacing w:before="0"/>
        <w:ind w:left="3570" w:right="0" w:firstLine="0"/>
        <w:jc w:val="left"/>
        <w:rPr>
          <w:b/>
          <w:sz w:val="22"/>
        </w:rPr>
      </w:pPr>
      <w:r>
        <w:rPr>
          <w:b/>
          <w:sz w:val="22"/>
        </w:rPr>
        <w:t>CAPÍTULO</w:t>
      </w:r>
      <w:r>
        <w:rPr>
          <w:b/>
          <w:spacing w:val="-7"/>
          <w:sz w:val="22"/>
        </w:rPr>
        <w:t> </w:t>
      </w:r>
      <w:r>
        <w:rPr>
          <w:b/>
          <w:spacing w:val="-5"/>
          <w:sz w:val="22"/>
        </w:rPr>
        <w:t>I.</w:t>
      </w:r>
    </w:p>
    <w:p>
      <w:pPr>
        <w:spacing w:line="360" w:lineRule="auto" w:before="134"/>
        <w:ind w:left="654" w:right="0" w:firstLine="748"/>
        <w:jc w:val="left"/>
        <w:rPr>
          <w:b/>
          <w:sz w:val="22"/>
        </w:rPr>
      </w:pPr>
      <w:r>
        <w:rPr>
          <w:b/>
          <w:sz w:val="22"/>
        </w:rPr>
        <w:t>NATURALEZA JURIDCA, VIGENCIA, OBJETIVOS, PRINCIPIOS</w:t>
      </w:r>
      <w:r>
        <w:rPr>
          <w:b/>
          <w:spacing w:val="-7"/>
          <w:sz w:val="22"/>
        </w:rPr>
        <w:t> </w:t>
      </w:r>
      <w:r>
        <w:rPr>
          <w:b/>
          <w:sz w:val="22"/>
        </w:rPr>
        <w:t>GENERALES</w:t>
      </w:r>
      <w:r>
        <w:rPr>
          <w:b/>
          <w:spacing w:val="-7"/>
          <w:sz w:val="22"/>
        </w:rPr>
        <w:t> </w:t>
      </w:r>
      <w:r>
        <w:rPr>
          <w:b/>
          <w:sz w:val="22"/>
        </w:rPr>
        <w:t>Y</w:t>
      </w:r>
      <w:r>
        <w:rPr>
          <w:b/>
          <w:spacing w:val="-5"/>
          <w:sz w:val="22"/>
        </w:rPr>
        <w:t> </w:t>
      </w:r>
      <w:r>
        <w:rPr>
          <w:b/>
          <w:sz w:val="22"/>
        </w:rPr>
        <w:t>LINEAS</w:t>
      </w:r>
      <w:r>
        <w:rPr>
          <w:b/>
          <w:spacing w:val="-8"/>
          <w:sz w:val="22"/>
        </w:rPr>
        <w:t> </w:t>
      </w:r>
      <w:r>
        <w:rPr>
          <w:b/>
          <w:sz w:val="22"/>
        </w:rPr>
        <w:t>ESTRATEGICAS</w:t>
      </w:r>
      <w:r>
        <w:rPr>
          <w:b/>
          <w:spacing w:val="-8"/>
          <w:sz w:val="22"/>
        </w:rPr>
        <w:t> </w:t>
      </w:r>
      <w:r>
        <w:rPr>
          <w:b/>
          <w:sz w:val="22"/>
        </w:rPr>
        <w:t>DE</w:t>
      </w:r>
    </w:p>
    <w:p>
      <w:pPr>
        <w:spacing w:line="600" w:lineRule="auto" w:before="0"/>
        <w:ind w:left="798" w:right="2657" w:firstLine="2453"/>
        <w:jc w:val="left"/>
        <w:rPr>
          <w:b/>
          <w:sz w:val="22"/>
        </w:rPr>
      </w:pPr>
      <w:r>
        <w:rPr>
          <w:b/>
          <w:spacing w:val="-2"/>
          <w:sz w:val="22"/>
        </w:rPr>
        <w:t>ACTUACION </w:t>
      </w:r>
      <w:r>
        <w:rPr>
          <w:b/>
          <w:sz w:val="22"/>
        </w:rPr>
        <w:t>ARTÍCULO</w:t>
      </w:r>
      <w:r>
        <w:rPr>
          <w:b/>
          <w:spacing w:val="-12"/>
          <w:sz w:val="22"/>
        </w:rPr>
        <w:t> </w:t>
      </w:r>
      <w:r>
        <w:rPr>
          <w:b/>
          <w:sz w:val="22"/>
        </w:rPr>
        <w:t>1.</w:t>
      </w:r>
      <w:r>
        <w:rPr>
          <w:b/>
          <w:spacing w:val="-11"/>
          <w:sz w:val="22"/>
        </w:rPr>
        <w:t> </w:t>
      </w:r>
      <w:r>
        <w:rPr>
          <w:b/>
          <w:sz w:val="22"/>
        </w:rPr>
        <w:t>NATURALEZA</w:t>
      </w:r>
      <w:r>
        <w:rPr>
          <w:b/>
          <w:spacing w:val="-12"/>
          <w:sz w:val="22"/>
        </w:rPr>
        <w:t> </w:t>
      </w:r>
      <w:r>
        <w:rPr>
          <w:b/>
          <w:sz w:val="22"/>
        </w:rPr>
        <w:t>JURIDICA</w:t>
      </w:r>
    </w:p>
    <w:p>
      <w:pPr>
        <w:pStyle w:val="BodyText"/>
        <w:spacing w:line="360" w:lineRule="auto"/>
        <w:ind w:left="102" w:right="737" w:firstLine="695"/>
        <w:jc w:val="both"/>
      </w:pPr>
      <w:r>
        <w:rPr/>
        <w:t>El Plan Estratégico de Subvenciones es un instrumento de gestión de carácter programático, que carece de rango normativo y cuya aprobación no genera derechos ni obligaciones para el </w:t>
      </w:r>
      <w:r>
        <w:rPr>
          <w:spacing w:val="-2"/>
        </w:rPr>
        <w:t>Ayuntamiento.</w:t>
      </w:r>
    </w:p>
    <w:p>
      <w:pPr>
        <w:pStyle w:val="BodyText"/>
      </w:pPr>
    </w:p>
    <w:p>
      <w:pPr>
        <w:pStyle w:val="BodyText"/>
        <w:spacing w:line="360" w:lineRule="auto"/>
        <w:ind w:left="102" w:right="734" w:firstLine="695"/>
        <w:jc w:val="both"/>
      </w:pPr>
      <w:r>
        <w:rPr/>
        <w:t>Su efectividad queda condicionada a la puesta en práctica de las diferentes líneas de subvención, atendiendo entre otros condicionantes las disponibilidades presupuestarias de cada ejercicio.</w:t>
      </w:r>
    </w:p>
    <w:p>
      <w:pPr>
        <w:pStyle w:val="BodyText"/>
        <w:spacing w:before="1"/>
      </w:pPr>
    </w:p>
    <w:p>
      <w:pPr>
        <w:pStyle w:val="BodyText"/>
        <w:spacing w:line="360" w:lineRule="auto"/>
        <w:ind w:left="102" w:right="732" w:firstLine="695"/>
        <w:jc w:val="both"/>
      </w:pPr>
      <w:r>
        <w:rPr/>
        <w:t>Por tanto, el establecimiento efectivo de las subvenciones previstas en este plan requerirá la inclusión de las consignaciones correspondientes en los presupuestos municipales y la aprobación de las bases reguladoras de su concesión o el documento procedente.</w:t>
      </w:r>
    </w:p>
    <w:p>
      <w:pPr>
        <w:pStyle w:val="BodyText"/>
        <w:spacing w:before="133"/>
      </w:pPr>
    </w:p>
    <w:p>
      <w:pPr>
        <w:pStyle w:val="Heading1"/>
      </w:pPr>
      <w:r>
        <w:rPr/>
        <w:t>ARTÍCULO</w:t>
      </w:r>
      <w:r>
        <w:rPr>
          <w:spacing w:val="-5"/>
        </w:rPr>
        <w:t> </w:t>
      </w:r>
      <w:r>
        <w:rPr/>
        <w:t>2.</w:t>
      </w:r>
      <w:r>
        <w:rPr>
          <w:spacing w:val="-4"/>
        </w:rPr>
        <w:t> </w:t>
      </w:r>
      <w:r>
        <w:rPr/>
        <w:t>ÁMBITO</w:t>
      </w:r>
      <w:r>
        <w:rPr>
          <w:spacing w:val="-4"/>
        </w:rPr>
        <w:t> </w:t>
      </w:r>
      <w:r>
        <w:rPr/>
        <w:t>DE</w:t>
      </w:r>
      <w:r>
        <w:rPr>
          <w:spacing w:val="-3"/>
        </w:rPr>
        <w:t> </w:t>
      </w:r>
      <w:r>
        <w:rPr>
          <w:spacing w:val="-2"/>
        </w:rPr>
        <w:t>APLICACIÓN</w:t>
      </w:r>
    </w:p>
    <w:p>
      <w:pPr>
        <w:pStyle w:val="BodyText"/>
        <w:spacing w:before="135"/>
        <w:rPr>
          <w:b/>
        </w:rPr>
      </w:pPr>
    </w:p>
    <w:p>
      <w:pPr>
        <w:pStyle w:val="BodyText"/>
        <w:ind w:left="798"/>
      </w:pPr>
      <w:r>
        <w:rPr/>
        <w:t>Este</w:t>
      </w:r>
      <w:r>
        <w:rPr>
          <w:spacing w:val="-5"/>
        </w:rPr>
        <w:t> </w:t>
      </w:r>
      <w:r>
        <w:rPr/>
        <w:t>plan</w:t>
      </w:r>
      <w:r>
        <w:rPr>
          <w:spacing w:val="-5"/>
        </w:rPr>
        <w:t> </w:t>
      </w:r>
      <w:r>
        <w:rPr/>
        <w:t>será</w:t>
      </w:r>
      <w:r>
        <w:rPr>
          <w:spacing w:val="-4"/>
        </w:rPr>
        <w:t> </w:t>
      </w:r>
      <w:r>
        <w:rPr/>
        <w:t>de</w:t>
      </w:r>
      <w:r>
        <w:rPr>
          <w:spacing w:val="-3"/>
        </w:rPr>
        <w:t> </w:t>
      </w:r>
      <w:r>
        <w:rPr/>
        <w:t>aplicación</w:t>
      </w:r>
      <w:r>
        <w:rPr>
          <w:spacing w:val="-4"/>
        </w:rPr>
        <w:t> </w:t>
      </w:r>
      <w:r>
        <w:rPr/>
        <w:t>al</w:t>
      </w:r>
      <w:r>
        <w:rPr>
          <w:spacing w:val="-4"/>
        </w:rPr>
        <w:t> </w:t>
      </w:r>
      <w:r>
        <w:rPr/>
        <w:t>Ayuntamiento</w:t>
      </w:r>
      <w:r>
        <w:rPr>
          <w:spacing w:val="-3"/>
        </w:rPr>
        <w:t> </w:t>
      </w:r>
      <w:r>
        <w:rPr/>
        <w:t>de</w:t>
      </w:r>
      <w:r>
        <w:rPr>
          <w:spacing w:val="-4"/>
        </w:rPr>
        <w:t> </w:t>
      </w:r>
      <w:r>
        <w:rPr>
          <w:spacing w:val="-2"/>
        </w:rPr>
        <w:t>Gáldar.</w:t>
      </w:r>
    </w:p>
    <w:p>
      <w:pPr>
        <w:spacing w:after="0"/>
        <w:sectPr>
          <w:pgSz w:w="11910" w:h="16840"/>
          <w:pgMar w:header="638" w:footer="825" w:top="2340" w:bottom="1020" w:left="1600" w:right="1680"/>
        </w:sectPr>
      </w:pPr>
    </w:p>
    <w:p>
      <w:pPr>
        <w:pStyle w:val="Heading1"/>
        <w:spacing w:before="178"/>
      </w:pPr>
      <w:r>
        <w:rPr/>
        <w:t>ARTÍCULO</w:t>
      </w:r>
      <w:r>
        <w:rPr>
          <w:spacing w:val="-4"/>
        </w:rPr>
        <w:t> </w:t>
      </w:r>
      <w:r>
        <w:rPr/>
        <w:t>3.</w:t>
      </w:r>
      <w:r>
        <w:rPr>
          <w:spacing w:val="-3"/>
        </w:rPr>
        <w:t> </w:t>
      </w:r>
      <w:r>
        <w:rPr>
          <w:spacing w:val="-2"/>
        </w:rPr>
        <w:t>VIGENCIA</w:t>
      </w:r>
    </w:p>
    <w:p>
      <w:pPr>
        <w:pStyle w:val="BodyText"/>
        <w:spacing w:before="134"/>
        <w:rPr>
          <w:b/>
        </w:rPr>
      </w:pPr>
    </w:p>
    <w:p>
      <w:pPr>
        <w:pStyle w:val="BodyText"/>
        <w:spacing w:line="360" w:lineRule="auto"/>
        <w:ind w:left="102" w:right="736" w:firstLine="695"/>
        <w:jc w:val="both"/>
      </w:pPr>
      <w:r>
        <w:rPr/>
        <w:t>La vigencia del presente Plan Estratégico de Subvenciones se establece para el ejercicio económico 2024.</w:t>
      </w:r>
    </w:p>
    <w:p>
      <w:pPr>
        <w:pStyle w:val="BodyText"/>
        <w:spacing w:before="1"/>
      </w:pPr>
    </w:p>
    <w:p>
      <w:pPr>
        <w:pStyle w:val="BodyText"/>
        <w:spacing w:line="360" w:lineRule="auto"/>
        <w:ind w:left="102" w:right="734" w:firstLine="695"/>
        <w:jc w:val="both"/>
      </w:pPr>
      <w:r>
        <w:rPr/>
        <w:t>En el supuesto de que concluido el ejercicio económico no se hubiese aprobado aún un nuevo Plan Estratégico de Subvenciones, el presente se entenderá prorrogado en aquellas líneas de actuación</w:t>
      </w:r>
      <w:r>
        <w:rPr>
          <w:spacing w:val="40"/>
        </w:rPr>
        <w:t> </w:t>
      </w:r>
      <w:r>
        <w:rPr/>
        <w:t>que se vayan a seguir realizando, siempre que, para ello se cuente con consignación presupuestaria adecuada y suficiente.</w:t>
      </w:r>
    </w:p>
    <w:p>
      <w:pPr>
        <w:pStyle w:val="BodyText"/>
        <w:spacing w:before="1"/>
      </w:pPr>
    </w:p>
    <w:p>
      <w:pPr>
        <w:pStyle w:val="Heading1"/>
      </w:pPr>
      <w:r>
        <w:rPr/>
        <w:t>ARTÍCULO</w:t>
      </w:r>
      <w:r>
        <w:rPr>
          <w:spacing w:val="-7"/>
        </w:rPr>
        <w:t> </w:t>
      </w:r>
      <w:r>
        <w:rPr/>
        <w:t>4.</w:t>
      </w:r>
      <w:r>
        <w:rPr>
          <w:spacing w:val="-6"/>
        </w:rPr>
        <w:t> </w:t>
      </w:r>
      <w:r>
        <w:rPr/>
        <w:t>OBJETIVOS</w:t>
      </w:r>
      <w:r>
        <w:rPr>
          <w:spacing w:val="-7"/>
        </w:rPr>
        <w:t> </w:t>
      </w:r>
      <w:r>
        <w:rPr>
          <w:spacing w:val="-2"/>
        </w:rPr>
        <w:t>GENERALES</w:t>
      </w:r>
    </w:p>
    <w:p>
      <w:pPr>
        <w:pStyle w:val="BodyText"/>
        <w:spacing w:before="132"/>
        <w:rPr>
          <w:b/>
        </w:rPr>
      </w:pPr>
    </w:p>
    <w:p>
      <w:pPr>
        <w:pStyle w:val="BodyText"/>
        <w:spacing w:line="360" w:lineRule="auto"/>
        <w:ind w:left="102" w:right="735" w:firstLine="695"/>
        <w:jc w:val="both"/>
      </w:pPr>
      <w:r>
        <w:rPr/>
        <w:t>Son objetivos generales del presente Plan Estratégico del Ayuntamiento de Gáldar, los siguientes:</w:t>
      </w:r>
    </w:p>
    <w:p>
      <w:pPr>
        <w:pStyle w:val="BodyText"/>
        <w:spacing w:before="1"/>
      </w:pPr>
    </w:p>
    <w:p>
      <w:pPr>
        <w:pStyle w:val="BodyText"/>
        <w:ind w:left="798"/>
        <w:jc w:val="both"/>
      </w:pPr>
      <w:r>
        <w:rPr/>
        <w:t>4.1.-</w:t>
      </w:r>
      <w:r>
        <w:rPr>
          <w:spacing w:val="1"/>
        </w:rPr>
        <w:t> </w:t>
      </w:r>
      <w:r>
        <w:rPr/>
        <w:t>Dar</w:t>
      </w:r>
      <w:r>
        <w:rPr>
          <w:spacing w:val="2"/>
        </w:rPr>
        <w:t> </w:t>
      </w:r>
      <w:r>
        <w:rPr/>
        <w:t>cumplimiento</w:t>
      </w:r>
      <w:r>
        <w:rPr>
          <w:spacing w:val="3"/>
        </w:rPr>
        <w:t> </w:t>
      </w:r>
      <w:r>
        <w:rPr/>
        <w:t>al</w:t>
      </w:r>
      <w:r>
        <w:rPr>
          <w:spacing w:val="2"/>
        </w:rPr>
        <w:t> </w:t>
      </w:r>
      <w:r>
        <w:rPr/>
        <w:t>mandato legal</w:t>
      </w:r>
      <w:r>
        <w:rPr>
          <w:spacing w:val="2"/>
        </w:rPr>
        <w:t> </w:t>
      </w:r>
      <w:r>
        <w:rPr/>
        <w:t>recogido</w:t>
      </w:r>
      <w:r>
        <w:rPr>
          <w:spacing w:val="1"/>
        </w:rPr>
        <w:t> </w:t>
      </w:r>
      <w:r>
        <w:rPr/>
        <w:t>en</w:t>
      </w:r>
      <w:r>
        <w:rPr>
          <w:spacing w:val="3"/>
        </w:rPr>
        <w:t> </w:t>
      </w:r>
      <w:r>
        <w:rPr/>
        <w:t>el</w:t>
      </w:r>
      <w:r>
        <w:rPr>
          <w:spacing w:val="4"/>
        </w:rPr>
        <w:t> </w:t>
      </w:r>
      <w:r>
        <w:rPr>
          <w:spacing w:val="-2"/>
        </w:rPr>
        <w:t>artículo</w:t>
      </w:r>
    </w:p>
    <w:p>
      <w:pPr>
        <w:pStyle w:val="BodyText"/>
        <w:spacing w:line="360" w:lineRule="auto" w:before="134"/>
        <w:ind w:left="102" w:right="736"/>
        <w:jc w:val="both"/>
      </w:pPr>
      <w:r>
        <w:rPr/>
        <w:t>8.1 de la Ley 38/2003, de 17 de noviembre, que obliga a las Administraciones públicas que propongan el establecimiento de subvenciones, a que, con carácter previo, elaboren un Plan Estratégico de Subvenciones.</w:t>
      </w:r>
    </w:p>
    <w:p>
      <w:pPr>
        <w:pStyle w:val="BodyText"/>
      </w:pPr>
    </w:p>
    <w:p>
      <w:pPr>
        <w:pStyle w:val="BodyText"/>
        <w:spacing w:line="360" w:lineRule="auto" w:before="1"/>
        <w:ind w:left="102" w:right="737" w:firstLine="695"/>
        <w:jc w:val="both"/>
      </w:pPr>
      <w:r>
        <w:rPr/>
        <w:t>4.2.- Establecer y normalizar, para el conjunto de los</w:t>
      </w:r>
      <w:r>
        <w:rPr>
          <w:spacing w:val="80"/>
        </w:rPr>
        <w:t> </w:t>
      </w:r>
      <w:r>
        <w:rPr/>
        <w:t>diferentes programas de ayuda y subvenciones del Ayuntamiento de Gáldar, un conjunto de principios y bases de ejecución comunes a los </w:t>
      </w:r>
      <w:r>
        <w:rPr>
          <w:spacing w:val="-2"/>
        </w:rPr>
        <w:t>mismos.</w:t>
      </w:r>
    </w:p>
    <w:p>
      <w:pPr>
        <w:pStyle w:val="BodyText"/>
        <w:spacing w:line="362" w:lineRule="auto" w:before="265"/>
        <w:ind w:left="102" w:right="734" w:firstLine="695"/>
        <w:jc w:val="both"/>
      </w:pPr>
      <w:r>
        <w:rPr/>
        <w:t>4.3.- Mejorar y racionalizar la gestión municipal de las </w:t>
      </w:r>
      <w:r>
        <w:rPr>
          <w:spacing w:val="-2"/>
        </w:rPr>
        <w:t>subvenciones.</w:t>
      </w:r>
    </w:p>
    <w:p>
      <w:pPr>
        <w:pStyle w:val="BodyText"/>
        <w:spacing w:line="360" w:lineRule="auto" w:before="263"/>
        <w:ind w:left="102" w:right="737" w:firstLine="695"/>
        <w:jc w:val="both"/>
      </w:pPr>
      <w:r>
        <w:rPr/>
        <w:t>4.4.- Regular, con carácter general, del régimen a que ha de ajustarse la concesión y justificación de las subvenciones a tramitar por el Ayuntamiento de Gáldar.</w:t>
      </w:r>
    </w:p>
    <w:p>
      <w:pPr>
        <w:spacing w:after="0" w:line="360" w:lineRule="auto"/>
        <w:jc w:val="both"/>
        <w:sectPr>
          <w:pgSz w:w="11910" w:h="16840"/>
          <w:pgMar w:header="638" w:footer="825" w:top="2340" w:bottom="1020" w:left="1600" w:right="1680"/>
        </w:sectPr>
      </w:pPr>
    </w:p>
    <w:p>
      <w:pPr>
        <w:pStyle w:val="BodyText"/>
        <w:spacing w:line="360" w:lineRule="auto" w:before="178"/>
        <w:ind w:left="102" w:right="734" w:firstLine="695"/>
        <w:jc w:val="both"/>
      </w:pPr>
      <w:r>
        <w:rPr/>
        <w:t>Los objetivos particulares de cada línea de ayuda o subvención para 2024 se recogen en el documento anexo al presente</w:t>
      </w:r>
      <w:r>
        <w:rPr>
          <w:spacing w:val="40"/>
        </w:rPr>
        <w:t> </w:t>
      </w:r>
      <w:r>
        <w:rPr/>
        <w:t>denominado “Anexo al Plan Estratégico de Subvenciones. Anualidad </w:t>
      </w:r>
      <w:r>
        <w:rPr>
          <w:spacing w:val="-2"/>
        </w:rPr>
        <w:t>2024”.</w:t>
      </w:r>
    </w:p>
    <w:p>
      <w:pPr>
        <w:pStyle w:val="BodyText"/>
      </w:pPr>
    </w:p>
    <w:p>
      <w:pPr>
        <w:pStyle w:val="Heading1"/>
      </w:pPr>
      <w:r>
        <w:rPr/>
        <w:t>ARTÍCULO</w:t>
      </w:r>
      <w:r>
        <w:rPr>
          <w:spacing w:val="-7"/>
        </w:rPr>
        <w:t> </w:t>
      </w:r>
      <w:r>
        <w:rPr/>
        <w:t>5.</w:t>
      </w:r>
      <w:r>
        <w:rPr>
          <w:spacing w:val="-6"/>
        </w:rPr>
        <w:t> </w:t>
      </w:r>
      <w:r>
        <w:rPr/>
        <w:t>PRINCIPIOS</w:t>
      </w:r>
      <w:r>
        <w:rPr>
          <w:spacing w:val="-6"/>
        </w:rPr>
        <w:t> </w:t>
      </w:r>
      <w:r>
        <w:rPr>
          <w:spacing w:val="-2"/>
        </w:rPr>
        <w:t>GENERALES</w:t>
      </w:r>
    </w:p>
    <w:p>
      <w:pPr>
        <w:pStyle w:val="BodyText"/>
        <w:spacing w:before="135"/>
        <w:rPr>
          <w:b/>
        </w:rPr>
      </w:pPr>
    </w:p>
    <w:p>
      <w:pPr>
        <w:pStyle w:val="BodyText"/>
        <w:ind w:left="798"/>
      </w:pPr>
      <w:r>
        <w:rPr/>
        <w:t>Son</w:t>
      </w:r>
      <w:r>
        <w:rPr>
          <w:spacing w:val="-4"/>
        </w:rPr>
        <w:t> </w:t>
      </w:r>
      <w:r>
        <w:rPr/>
        <w:t>principios</w:t>
      </w:r>
      <w:r>
        <w:rPr>
          <w:spacing w:val="-3"/>
        </w:rPr>
        <w:t> </w:t>
      </w:r>
      <w:r>
        <w:rPr/>
        <w:t>generales</w:t>
      </w:r>
      <w:r>
        <w:rPr>
          <w:spacing w:val="-3"/>
        </w:rPr>
        <w:t> </w:t>
      </w:r>
      <w:r>
        <w:rPr/>
        <w:t>de</w:t>
      </w:r>
      <w:r>
        <w:rPr>
          <w:spacing w:val="-2"/>
        </w:rPr>
        <w:t> </w:t>
      </w:r>
      <w:r>
        <w:rPr/>
        <w:t>este</w:t>
      </w:r>
      <w:r>
        <w:rPr>
          <w:spacing w:val="-4"/>
        </w:rPr>
        <w:t> </w:t>
      </w:r>
      <w:r>
        <w:rPr/>
        <w:t>plan</w:t>
      </w:r>
      <w:r>
        <w:rPr>
          <w:spacing w:val="-5"/>
        </w:rPr>
        <w:t> </w:t>
      </w:r>
      <w:r>
        <w:rPr/>
        <w:t>los</w:t>
      </w:r>
      <w:r>
        <w:rPr>
          <w:spacing w:val="-2"/>
        </w:rPr>
        <w:t> siguientes:</w:t>
      </w:r>
    </w:p>
    <w:p>
      <w:pPr>
        <w:pStyle w:val="BodyText"/>
        <w:spacing w:before="133"/>
      </w:pPr>
    </w:p>
    <w:p>
      <w:pPr>
        <w:pStyle w:val="BodyText"/>
        <w:spacing w:line="360" w:lineRule="auto"/>
        <w:ind w:left="102" w:right="731" w:firstLine="695"/>
        <w:jc w:val="both"/>
      </w:pPr>
      <w:r>
        <w:rPr/>
        <w:t>5.1.- Principio de publicidad y transparencia: Este principio se materializa en la convocatoria previa en la que se garantice la objetividad, transparencia, publicidad, concurrencia e igualdad en la distribución de fondos públicos, ello sin perjuicio de la posible concesión directa, de conformidad con lo establecido al</w:t>
      </w:r>
      <w:r>
        <w:rPr>
          <w:spacing w:val="-1"/>
        </w:rPr>
        <w:t> </w:t>
      </w:r>
      <w:r>
        <w:rPr/>
        <w:t>respecto en la Ley 38/2003, de 17 de noviembre, General de Subvenciones, en las Bases de Ejecución del presupuesto del Ayuntamiento De Gáldar y demás normativa de aplicación. Este principio también se materializa en la publicidad de las subvenciones concedidas, en los términos previstos en el artículo 18 de la Ley 38/2003, de 17 de noviembre, General de Subvenciones.</w:t>
      </w:r>
    </w:p>
    <w:p>
      <w:pPr>
        <w:pStyle w:val="BodyText"/>
        <w:spacing w:before="1"/>
      </w:pPr>
    </w:p>
    <w:p>
      <w:pPr>
        <w:pStyle w:val="BodyText"/>
        <w:spacing w:line="360" w:lineRule="auto"/>
        <w:ind w:left="102" w:right="734" w:firstLine="695"/>
        <w:jc w:val="both"/>
      </w:pPr>
      <w:r>
        <w:rPr/>
        <w:t>5.2.- Principio de libre concurrencia, igualdad y no discriminación: Este principio se materializa en la determinación de los requisitos que deben cumplir los beneficiarios, al objeto de la plena satisfacción del interés general.</w:t>
      </w:r>
    </w:p>
    <w:p>
      <w:pPr>
        <w:pStyle w:val="BodyText"/>
      </w:pPr>
    </w:p>
    <w:p>
      <w:pPr>
        <w:pStyle w:val="BodyText"/>
        <w:spacing w:line="360" w:lineRule="auto" w:before="1"/>
        <w:ind w:left="102" w:right="733" w:firstLine="695"/>
        <w:jc w:val="both"/>
      </w:pPr>
      <w:r>
        <w:rPr/>
        <w:t>5.3.- Principio de objetividad: La concesión de subvenciones se realizará conforme a criterios objetivos, previamente establecidos en la convocatoria a fin de garantizar el conocimiento previo de los mismos por los potenciales beneficiarios.</w:t>
      </w:r>
    </w:p>
    <w:p>
      <w:pPr>
        <w:pStyle w:val="BodyText"/>
      </w:pPr>
    </w:p>
    <w:p>
      <w:pPr>
        <w:pStyle w:val="BodyText"/>
        <w:spacing w:line="360" w:lineRule="auto" w:before="1"/>
        <w:ind w:left="102" w:right="732" w:firstLine="695"/>
        <w:jc w:val="both"/>
      </w:pPr>
      <w:r>
        <w:rPr/>
        <w:t>5.4.- Principios de eficacia y eficiencia: Eficacia en el cumplimiento</w:t>
      </w:r>
      <w:r>
        <w:rPr>
          <w:spacing w:val="16"/>
        </w:rPr>
        <w:t> </w:t>
      </w:r>
      <w:r>
        <w:rPr/>
        <w:t>de</w:t>
      </w:r>
      <w:r>
        <w:rPr>
          <w:spacing w:val="17"/>
        </w:rPr>
        <w:t> </w:t>
      </w:r>
      <w:r>
        <w:rPr/>
        <w:t>los</w:t>
      </w:r>
      <w:r>
        <w:rPr>
          <w:spacing w:val="14"/>
        </w:rPr>
        <w:t> </w:t>
      </w:r>
      <w:r>
        <w:rPr/>
        <w:t>objetivos</w:t>
      </w:r>
      <w:r>
        <w:rPr>
          <w:spacing w:val="14"/>
        </w:rPr>
        <w:t> </w:t>
      </w:r>
      <w:r>
        <w:rPr/>
        <w:t>marcados</w:t>
      </w:r>
      <w:r>
        <w:rPr>
          <w:spacing w:val="17"/>
        </w:rPr>
        <w:t> </w:t>
      </w:r>
      <w:r>
        <w:rPr/>
        <w:t>y</w:t>
      </w:r>
      <w:r>
        <w:rPr>
          <w:spacing w:val="13"/>
        </w:rPr>
        <w:t> </w:t>
      </w:r>
      <w:r>
        <w:rPr/>
        <w:t>eficiencia</w:t>
      </w:r>
      <w:r>
        <w:rPr>
          <w:spacing w:val="15"/>
        </w:rPr>
        <w:t> </w:t>
      </w:r>
      <w:r>
        <w:rPr/>
        <w:t>en</w:t>
      </w:r>
      <w:r>
        <w:rPr>
          <w:spacing w:val="16"/>
        </w:rPr>
        <w:t> </w:t>
      </w:r>
      <w:r>
        <w:rPr/>
        <w:t>la</w:t>
      </w:r>
      <w:r>
        <w:rPr>
          <w:spacing w:val="16"/>
        </w:rPr>
        <w:t> </w:t>
      </w:r>
      <w:r>
        <w:rPr>
          <w:spacing w:val="-2"/>
        </w:rPr>
        <w:t>asignación</w:t>
      </w:r>
    </w:p>
    <w:p>
      <w:pPr>
        <w:spacing w:after="0" w:line="360" w:lineRule="auto"/>
        <w:jc w:val="both"/>
        <w:sectPr>
          <w:pgSz w:w="11910" w:h="16840"/>
          <w:pgMar w:header="638" w:footer="825" w:top="2340" w:bottom="1020" w:left="1600" w:right="1680"/>
        </w:sectPr>
      </w:pPr>
    </w:p>
    <w:p>
      <w:pPr>
        <w:pStyle w:val="BodyText"/>
        <w:tabs>
          <w:tab w:pos="697" w:val="left" w:leader="none"/>
          <w:tab w:pos="1961" w:val="left" w:leader="none"/>
          <w:tab w:pos="3267" w:val="left" w:leader="none"/>
          <w:tab w:pos="4846" w:val="left" w:leader="none"/>
          <w:tab w:pos="6126" w:val="left" w:leader="none"/>
          <w:tab w:pos="7756" w:val="left" w:leader="none"/>
        </w:tabs>
        <w:spacing w:line="362" w:lineRule="auto" w:before="178"/>
        <w:ind w:left="102" w:right="737"/>
      </w:pPr>
      <w:r>
        <w:rPr>
          <w:spacing w:val="-6"/>
        </w:rPr>
        <w:t>de</w:t>
      </w:r>
      <w:r>
        <w:rPr/>
        <w:tab/>
      </w:r>
      <w:r>
        <w:rPr>
          <w:spacing w:val="-2"/>
        </w:rPr>
        <w:t>recursos</w:t>
      </w:r>
      <w:r>
        <w:rPr/>
        <w:tab/>
      </w:r>
      <w:r>
        <w:rPr>
          <w:spacing w:val="-2"/>
        </w:rPr>
        <w:t>públicos,</w:t>
      </w:r>
      <w:r>
        <w:rPr/>
        <w:tab/>
      </w:r>
      <w:r>
        <w:rPr>
          <w:spacing w:val="-2"/>
        </w:rPr>
        <w:t>debiéndose</w:t>
      </w:r>
      <w:r>
        <w:rPr/>
        <w:tab/>
      </w:r>
      <w:r>
        <w:rPr>
          <w:spacing w:val="-2"/>
        </w:rPr>
        <w:t>justificar</w:t>
      </w:r>
      <w:r>
        <w:rPr/>
        <w:tab/>
      </w:r>
      <w:r>
        <w:rPr>
          <w:spacing w:val="-2"/>
        </w:rPr>
        <w:t>cuantitativa</w:t>
      </w:r>
      <w:r>
        <w:rPr/>
        <w:tab/>
      </w:r>
      <w:r>
        <w:rPr>
          <w:spacing w:val="-10"/>
        </w:rPr>
        <w:t>y </w:t>
      </w:r>
      <w:r>
        <w:rPr>
          <w:spacing w:val="-2"/>
        </w:rPr>
        <w:t>cualitativamente.</w:t>
      </w:r>
    </w:p>
    <w:p>
      <w:pPr>
        <w:pStyle w:val="BodyText"/>
        <w:spacing w:line="360" w:lineRule="auto" w:before="262"/>
        <w:ind w:left="102" w:right="734" w:firstLine="695"/>
        <w:jc w:val="both"/>
      </w:pPr>
      <w:r>
        <w:rPr/>
        <w:t>5.5.- Principio de estabilidad y de regla de gasto: La concesión de subvenciones se ajustará al principio de estabilidad y a la regla de gasto, en los términos previstos en la Ley Orgánica 2/2012, de 27 de abril, de Estabilidad Presupuestaria y Sostenibilidad Financiera.</w:t>
      </w:r>
    </w:p>
    <w:p>
      <w:pPr>
        <w:pStyle w:val="BodyText"/>
        <w:spacing w:before="1"/>
      </w:pPr>
    </w:p>
    <w:p>
      <w:pPr>
        <w:pStyle w:val="BodyText"/>
        <w:spacing w:line="360" w:lineRule="auto"/>
        <w:ind w:left="102" w:right="734" w:firstLine="695"/>
        <w:jc w:val="both"/>
      </w:pPr>
      <w:r>
        <w:rPr/>
        <w:t>5.6. Principio de control y análisis de la adecuación de los fines de las entidades solicitantes a los principios de igualdad y no discriminación en el ejercicio de las actividades subvencionadas</w:t>
      </w:r>
    </w:p>
    <w:p>
      <w:pPr>
        <w:pStyle w:val="BodyText"/>
        <w:spacing w:before="1"/>
      </w:pPr>
    </w:p>
    <w:p>
      <w:pPr>
        <w:pStyle w:val="Heading1"/>
      </w:pPr>
      <w:r>
        <w:rPr/>
        <w:t>ARTÍCULO</w:t>
      </w:r>
      <w:r>
        <w:rPr>
          <w:spacing w:val="-9"/>
        </w:rPr>
        <w:t> </w:t>
      </w:r>
      <w:r>
        <w:rPr/>
        <w:t>6.</w:t>
      </w:r>
      <w:r>
        <w:rPr>
          <w:spacing w:val="-7"/>
        </w:rPr>
        <w:t> </w:t>
      </w:r>
      <w:r>
        <w:rPr/>
        <w:t>LINEAS</w:t>
      </w:r>
      <w:r>
        <w:rPr>
          <w:spacing w:val="-6"/>
        </w:rPr>
        <w:t> </w:t>
      </w:r>
      <w:r>
        <w:rPr/>
        <w:t>ESTRATEGICAS</w:t>
      </w:r>
      <w:r>
        <w:rPr>
          <w:spacing w:val="-7"/>
        </w:rPr>
        <w:t> </w:t>
      </w:r>
      <w:r>
        <w:rPr/>
        <w:t>DE</w:t>
      </w:r>
      <w:r>
        <w:rPr>
          <w:spacing w:val="-6"/>
        </w:rPr>
        <w:t> </w:t>
      </w:r>
      <w:r>
        <w:rPr>
          <w:spacing w:val="-2"/>
        </w:rPr>
        <w:t>SUBVENCIÓN</w:t>
      </w:r>
    </w:p>
    <w:p>
      <w:pPr>
        <w:pStyle w:val="BodyText"/>
        <w:spacing w:before="132"/>
        <w:rPr>
          <w:b/>
        </w:rPr>
      </w:pPr>
    </w:p>
    <w:p>
      <w:pPr>
        <w:pStyle w:val="BodyText"/>
        <w:spacing w:line="360" w:lineRule="auto" w:before="1"/>
        <w:ind w:left="102" w:right="736" w:firstLine="695"/>
        <w:jc w:val="both"/>
      </w:pPr>
      <w:r>
        <w:rPr/>
        <w:t>El Ayuntamiento establecerá anualmente subvenciones en las áreas de su competencia:</w:t>
      </w:r>
    </w:p>
    <w:p>
      <w:pPr>
        <w:pStyle w:val="BodyText"/>
      </w:pPr>
    </w:p>
    <w:p>
      <w:pPr>
        <w:pStyle w:val="ListParagraph"/>
        <w:numPr>
          <w:ilvl w:val="0"/>
          <w:numId w:val="1"/>
        </w:numPr>
        <w:tabs>
          <w:tab w:pos="1518" w:val="left" w:leader="none"/>
        </w:tabs>
        <w:spacing w:line="357" w:lineRule="auto" w:before="0" w:after="0"/>
        <w:ind w:left="1518" w:right="733" w:hanging="360"/>
        <w:jc w:val="both"/>
        <w:rPr>
          <w:sz w:val="22"/>
        </w:rPr>
      </w:pPr>
      <w:r>
        <w:rPr>
          <w:sz w:val="22"/>
        </w:rPr>
        <w:t>Acción social: promoción de la mujer, juventud, asociacionismo y participación ciudadana, actividades dirigidas a discapacitados etc.</w:t>
      </w:r>
    </w:p>
    <w:p>
      <w:pPr>
        <w:pStyle w:val="ListParagraph"/>
        <w:numPr>
          <w:ilvl w:val="0"/>
          <w:numId w:val="1"/>
        </w:numPr>
        <w:tabs>
          <w:tab w:pos="1517" w:val="left" w:leader="none"/>
        </w:tabs>
        <w:spacing w:line="240" w:lineRule="auto" w:before="5" w:after="0"/>
        <w:ind w:left="1517" w:right="0" w:hanging="359"/>
        <w:jc w:val="both"/>
        <w:rPr>
          <w:sz w:val="22"/>
        </w:rPr>
      </w:pPr>
      <w:r>
        <w:rPr>
          <w:sz w:val="22"/>
        </w:rPr>
        <w:t>Cultura:</w:t>
      </w:r>
      <w:r>
        <w:rPr>
          <w:spacing w:val="-5"/>
          <w:sz w:val="22"/>
        </w:rPr>
        <w:t> </w:t>
      </w:r>
      <w:r>
        <w:rPr>
          <w:sz w:val="22"/>
        </w:rPr>
        <w:t>música,</w:t>
      </w:r>
      <w:r>
        <w:rPr>
          <w:spacing w:val="-4"/>
          <w:sz w:val="22"/>
        </w:rPr>
        <w:t> </w:t>
      </w:r>
      <w:r>
        <w:rPr>
          <w:sz w:val="22"/>
        </w:rPr>
        <w:t>artes</w:t>
      </w:r>
      <w:r>
        <w:rPr>
          <w:spacing w:val="-5"/>
          <w:sz w:val="22"/>
        </w:rPr>
        <w:t> </w:t>
      </w:r>
      <w:r>
        <w:rPr>
          <w:sz w:val="22"/>
        </w:rPr>
        <w:t>plásticas,</w:t>
      </w:r>
      <w:r>
        <w:rPr>
          <w:spacing w:val="-4"/>
          <w:sz w:val="22"/>
        </w:rPr>
        <w:t> etc.</w:t>
      </w:r>
    </w:p>
    <w:p>
      <w:pPr>
        <w:pStyle w:val="ListParagraph"/>
        <w:numPr>
          <w:ilvl w:val="0"/>
          <w:numId w:val="1"/>
        </w:numPr>
        <w:tabs>
          <w:tab w:pos="1518" w:val="left" w:leader="none"/>
          <w:tab w:pos="3079" w:val="left" w:leader="none"/>
          <w:tab w:pos="4530" w:val="left" w:leader="none"/>
          <w:tab w:pos="6232" w:val="left" w:leader="none"/>
        </w:tabs>
        <w:spacing w:line="357" w:lineRule="auto" w:before="131" w:after="0"/>
        <w:ind w:left="1518" w:right="735" w:hanging="360"/>
        <w:jc w:val="left"/>
        <w:rPr>
          <w:sz w:val="22"/>
        </w:rPr>
      </w:pPr>
      <w:r>
        <w:rPr>
          <w:spacing w:val="-2"/>
          <w:sz w:val="22"/>
        </w:rPr>
        <w:t>Deportes:</w:t>
      </w:r>
      <w:r>
        <w:rPr>
          <w:sz w:val="22"/>
        </w:rPr>
        <w:tab/>
      </w:r>
      <w:r>
        <w:rPr>
          <w:spacing w:val="-2"/>
          <w:sz w:val="22"/>
        </w:rPr>
        <w:t>prácticas</w:t>
      </w:r>
      <w:r>
        <w:rPr>
          <w:sz w:val="22"/>
        </w:rPr>
        <w:tab/>
      </w:r>
      <w:r>
        <w:rPr>
          <w:spacing w:val="-2"/>
          <w:sz w:val="22"/>
        </w:rPr>
        <w:t>deportivas,</w:t>
      </w:r>
      <w:r>
        <w:rPr>
          <w:sz w:val="22"/>
        </w:rPr>
        <w:tab/>
      </w:r>
      <w:r>
        <w:rPr>
          <w:spacing w:val="-2"/>
          <w:sz w:val="22"/>
        </w:rPr>
        <w:t>asociacionismo </w:t>
      </w:r>
      <w:r>
        <w:rPr>
          <w:sz w:val="22"/>
        </w:rPr>
        <w:t>deportivo, etc.</w:t>
      </w:r>
    </w:p>
    <w:p>
      <w:pPr>
        <w:pStyle w:val="ListParagraph"/>
        <w:numPr>
          <w:ilvl w:val="0"/>
          <w:numId w:val="1"/>
        </w:numPr>
        <w:tabs>
          <w:tab w:pos="1518" w:val="left" w:leader="none"/>
        </w:tabs>
        <w:spacing w:line="360" w:lineRule="auto" w:before="2" w:after="0"/>
        <w:ind w:left="1518" w:right="735" w:hanging="360"/>
        <w:jc w:val="left"/>
        <w:rPr>
          <w:sz w:val="22"/>
        </w:rPr>
      </w:pPr>
      <w:r>
        <w:rPr>
          <w:sz w:val="22"/>
        </w:rPr>
        <w:t>Fomento</w:t>
      </w:r>
      <w:r>
        <w:rPr>
          <w:spacing w:val="-4"/>
          <w:sz w:val="22"/>
        </w:rPr>
        <w:t> </w:t>
      </w:r>
      <w:r>
        <w:rPr>
          <w:sz w:val="22"/>
        </w:rPr>
        <w:t>económico:</w:t>
      </w:r>
      <w:r>
        <w:rPr>
          <w:spacing w:val="-6"/>
          <w:sz w:val="22"/>
        </w:rPr>
        <w:t> </w:t>
      </w:r>
      <w:r>
        <w:rPr>
          <w:sz w:val="22"/>
        </w:rPr>
        <w:t>agricultura,</w:t>
      </w:r>
      <w:r>
        <w:rPr>
          <w:spacing w:val="-3"/>
          <w:sz w:val="22"/>
        </w:rPr>
        <w:t> </w:t>
      </w:r>
      <w:r>
        <w:rPr>
          <w:sz w:val="22"/>
        </w:rPr>
        <w:t>turismo,</w:t>
      </w:r>
      <w:r>
        <w:rPr>
          <w:spacing w:val="-3"/>
          <w:sz w:val="22"/>
        </w:rPr>
        <w:t> </w:t>
      </w:r>
      <w:r>
        <w:rPr>
          <w:sz w:val="22"/>
        </w:rPr>
        <w:t>empleabilidad, </w:t>
      </w:r>
      <w:r>
        <w:rPr>
          <w:spacing w:val="-4"/>
          <w:sz w:val="22"/>
        </w:rPr>
        <w:t>etc.</w:t>
      </w:r>
    </w:p>
    <w:p>
      <w:pPr>
        <w:pStyle w:val="ListParagraph"/>
        <w:numPr>
          <w:ilvl w:val="0"/>
          <w:numId w:val="1"/>
        </w:numPr>
        <w:tabs>
          <w:tab w:pos="1517" w:val="left" w:leader="none"/>
        </w:tabs>
        <w:spacing w:line="268" w:lineRule="exact" w:before="0" w:after="0"/>
        <w:ind w:left="1517" w:right="0" w:hanging="359"/>
        <w:jc w:val="left"/>
        <w:rPr>
          <w:sz w:val="22"/>
        </w:rPr>
      </w:pPr>
      <w:r>
        <w:rPr>
          <w:sz w:val="22"/>
        </w:rPr>
        <w:t>Otras</w:t>
      </w:r>
      <w:r>
        <w:rPr>
          <w:spacing w:val="-4"/>
          <w:sz w:val="22"/>
        </w:rPr>
        <w:t> </w:t>
      </w:r>
      <w:r>
        <w:rPr>
          <w:sz w:val="22"/>
        </w:rPr>
        <w:t>áreas</w:t>
      </w:r>
      <w:r>
        <w:rPr>
          <w:spacing w:val="-4"/>
          <w:sz w:val="22"/>
        </w:rPr>
        <w:t> </w:t>
      </w:r>
      <w:r>
        <w:rPr>
          <w:sz w:val="22"/>
        </w:rPr>
        <w:t>de</w:t>
      </w:r>
      <w:r>
        <w:rPr>
          <w:spacing w:val="-3"/>
          <w:sz w:val="22"/>
        </w:rPr>
        <w:t> </w:t>
      </w:r>
      <w:r>
        <w:rPr>
          <w:sz w:val="22"/>
        </w:rPr>
        <w:t>competencia</w:t>
      </w:r>
      <w:r>
        <w:rPr>
          <w:spacing w:val="-4"/>
          <w:sz w:val="22"/>
        </w:rPr>
        <w:t> </w:t>
      </w:r>
      <w:r>
        <w:rPr>
          <w:spacing w:val="-2"/>
          <w:sz w:val="22"/>
        </w:rPr>
        <w:t>municipal.</w:t>
      </w:r>
    </w:p>
    <w:p>
      <w:pPr>
        <w:pStyle w:val="BodyText"/>
        <w:spacing w:before="130"/>
      </w:pPr>
    </w:p>
    <w:p>
      <w:pPr>
        <w:pStyle w:val="BodyText"/>
        <w:spacing w:line="360" w:lineRule="auto"/>
        <w:ind w:left="102" w:right="736" w:firstLine="695"/>
        <w:jc w:val="both"/>
      </w:pPr>
      <w:r>
        <w:rPr/>
        <w:t>En concreto, se materializan con carácter inicial para el</w:t>
      </w:r>
      <w:r>
        <w:rPr>
          <w:spacing w:val="40"/>
        </w:rPr>
        <w:t> </w:t>
      </w:r>
      <w:r>
        <w:rPr/>
        <w:t>ejercicio 2024, según el siguiente anexo “desglose plan estratégico</w:t>
      </w:r>
      <w:r>
        <w:rPr>
          <w:spacing w:val="80"/>
        </w:rPr>
        <w:t> </w:t>
      </w:r>
      <w:r>
        <w:rPr/>
        <w:t>de subvenciones”:</w:t>
      </w:r>
    </w:p>
    <w:p>
      <w:pPr>
        <w:spacing w:after="0" w:line="360" w:lineRule="auto"/>
        <w:jc w:val="both"/>
        <w:sectPr>
          <w:pgSz w:w="11910" w:h="16840"/>
          <w:pgMar w:header="638" w:footer="825" w:top="2340" w:bottom="1020" w:left="1600" w:right="1680"/>
        </w:sectPr>
      </w:pPr>
    </w:p>
    <w:p>
      <w:pPr>
        <w:pStyle w:val="BodyText"/>
        <w:spacing w:before="129"/>
        <w:rPr>
          <w:sz w:val="20"/>
        </w:rPr>
      </w:pPr>
    </w:p>
    <w:tbl>
      <w:tblPr>
        <w:tblW w:w="0" w:type="auto"/>
        <w:jc w:val="left"/>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26"/>
        <w:gridCol w:w="5273"/>
        <w:gridCol w:w="1238"/>
        <w:gridCol w:w="1442"/>
        <w:gridCol w:w="1360"/>
        <w:gridCol w:w="1320"/>
        <w:gridCol w:w="659"/>
        <w:gridCol w:w="1120"/>
      </w:tblGrid>
      <w:tr>
        <w:trPr>
          <w:trHeight w:val="301" w:hRule="atLeast"/>
        </w:trPr>
        <w:tc>
          <w:tcPr>
            <w:tcW w:w="8237" w:type="dxa"/>
            <w:gridSpan w:val="3"/>
            <w:tcBorders>
              <w:top w:val="nil"/>
              <w:left w:val="nil"/>
              <w:bottom w:val="nil"/>
            </w:tcBorders>
          </w:tcPr>
          <w:p>
            <w:pPr>
              <w:pStyle w:val="TableParagraph"/>
              <w:rPr>
                <w:rFonts w:ascii="Times New Roman"/>
                <w:sz w:val="18"/>
              </w:rPr>
            </w:pPr>
          </w:p>
        </w:tc>
        <w:tc>
          <w:tcPr>
            <w:tcW w:w="1442" w:type="dxa"/>
            <w:tcBorders>
              <w:bottom w:val="nil"/>
            </w:tcBorders>
            <w:shd w:val="clear" w:color="auto" w:fill="C0C0C0"/>
          </w:tcPr>
          <w:p>
            <w:pPr>
              <w:pStyle w:val="TableParagraph"/>
              <w:spacing w:line="189" w:lineRule="exact" w:before="92"/>
              <w:ind w:left="20" w:right="2"/>
              <w:jc w:val="center"/>
              <w:rPr>
                <w:rFonts w:ascii="Arial" w:hAnsi="Arial"/>
                <w:b/>
                <w:sz w:val="18"/>
              </w:rPr>
            </w:pPr>
            <w:r>
              <w:rPr>
                <w:rFonts w:ascii="Arial" w:hAnsi="Arial"/>
                <w:b/>
                <w:spacing w:val="-2"/>
                <w:sz w:val="18"/>
              </w:rPr>
              <w:t>Aplicación</w:t>
            </w:r>
          </w:p>
        </w:tc>
        <w:tc>
          <w:tcPr>
            <w:tcW w:w="1360" w:type="dxa"/>
            <w:tcBorders>
              <w:bottom w:val="nil"/>
            </w:tcBorders>
            <w:shd w:val="clear" w:color="auto" w:fill="C0C0C0"/>
          </w:tcPr>
          <w:p>
            <w:pPr>
              <w:pStyle w:val="TableParagraph"/>
              <w:spacing w:line="189" w:lineRule="exact" w:before="92"/>
              <w:ind w:right="45"/>
              <w:jc w:val="right"/>
              <w:rPr>
                <w:rFonts w:ascii="Arial"/>
                <w:b/>
                <w:sz w:val="18"/>
              </w:rPr>
            </w:pPr>
            <w:r>
              <w:rPr>
                <w:rFonts w:ascii="Arial"/>
                <w:b/>
                <w:spacing w:val="-2"/>
                <w:sz w:val="18"/>
              </w:rPr>
              <w:t>Subvenciones</w:t>
            </w:r>
          </w:p>
        </w:tc>
        <w:tc>
          <w:tcPr>
            <w:tcW w:w="1320" w:type="dxa"/>
            <w:tcBorders>
              <w:bottom w:val="nil"/>
            </w:tcBorders>
            <w:shd w:val="clear" w:color="auto" w:fill="C0C0C0"/>
          </w:tcPr>
          <w:p>
            <w:pPr>
              <w:pStyle w:val="TableParagraph"/>
              <w:spacing w:line="189" w:lineRule="exact" w:before="92"/>
              <w:ind w:left="251"/>
              <w:rPr>
                <w:rFonts w:ascii="Arial"/>
                <w:b/>
                <w:sz w:val="18"/>
              </w:rPr>
            </w:pPr>
            <w:r>
              <w:rPr>
                <w:rFonts w:ascii="Arial"/>
                <w:b/>
                <w:spacing w:val="-2"/>
                <w:sz w:val="18"/>
              </w:rPr>
              <w:t>Recursos</w:t>
            </w:r>
          </w:p>
        </w:tc>
        <w:tc>
          <w:tcPr>
            <w:tcW w:w="659" w:type="dxa"/>
            <w:tcBorders>
              <w:bottom w:val="nil"/>
            </w:tcBorders>
            <w:shd w:val="clear" w:color="auto" w:fill="C0C0C0"/>
          </w:tcPr>
          <w:p>
            <w:pPr>
              <w:pStyle w:val="TableParagraph"/>
              <w:spacing w:line="189" w:lineRule="exact" w:before="92"/>
              <w:ind w:left="25"/>
              <w:jc w:val="center"/>
              <w:rPr>
                <w:rFonts w:ascii="Arial"/>
                <w:b/>
                <w:sz w:val="18"/>
              </w:rPr>
            </w:pPr>
            <w:r>
              <w:rPr>
                <w:rFonts w:ascii="Arial"/>
                <w:b/>
                <w:spacing w:val="-2"/>
                <w:sz w:val="18"/>
              </w:rPr>
              <w:t>Subv.</w:t>
            </w:r>
          </w:p>
        </w:tc>
        <w:tc>
          <w:tcPr>
            <w:tcW w:w="1120" w:type="dxa"/>
            <w:tcBorders>
              <w:bottom w:val="nil"/>
            </w:tcBorders>
            <w:shd w:val="clear" w:color="auto" w:fill="C0C0C0"/>
          </w:tcPr>
          <w:p>
            <w:pPr>
              <w:pStyle w:val="TableParagraph"/>
              <w:spacing w:line="189" w:lineRule="exact" w:before="92"/>
              <w:ind w:left="318"/>
              <w:rPr>
                <w:rFonts w:ascii="Arial"/>
                <w:b/>
                <w:sz w:val="18"/>
              </w:rPr>
            </w:pPr>
            <w:r>
              <w:rPr>
                <w:rFonts w:ascii="Arial"/>
                <w:b/>
                <w:spacing w:val="-2"/>
                <w:sz w:val="18"/>
              </w:rPr>
              <w:t>Subv.</w:t>
            </w:r>
          </w:p>
        </w:tc>
      </w:tr>
      <w:tr>
        <w:trPr>
          <w:trHeight w:val="285" w:hRule="atLeast"/>
        </w:trPr>
        <w:tc>
          <w:tcPr>
            <w:tcW w:w="1726" w:type="dxa"/>
            <w:tcBorders>
              <w:left w:val="nil"/>
              <w:bottom w:val="single" w:sz="4" w:space="0" w:color="000000"/>
            </w:tcBorders>
            <w:shd w:val="clear" w:color="auto" w:fill="C0C0C0"/>
          </w:tcPr>
          <w:p>
            <w:pPr>
              <w:pStyle w:val="TableParagraph"/>
              <w:spacing w:line="189" w:lineRule="exact" w:before="75"/>
              <w:ind w:left="27"/>
              <w:jc w:val="center"/>
              <w:rPr>
                <w:rFonts w:ascii="Arial"/>
                <w:b/>
                <w:sz w:val="18"/>
              </w:rPr>
            </w:pPr>
            <w:r>
              <w:rPr>
                <w:rFonts w:ascii="Arial"/>
                <w:b/>
                <w:spacing w:val="-4"/>
                <w:sz w:val="18"/>
              </w:rPr>
              <w:t>AREA</w:t>
            </w:r>
          </w:p>
        </w:tc>
        <w:tc>
          <w:tcPr>
            <w:tcW w:w="5273" w:type="dxa"/>
            <w:tcBorders>
              <w:bottom w:val="single" w:sz="4" w:space="0" w:color="000000"/>
            </w:tcBorders>
            <w:shd w:val="clear" w:color="auto" w:fill="C0C0C0"/>
          </w:tcPr>
          <w:p>
            <w:pPr>
              <w:pStyle w:val="TableParagraph"/>
              <w:spacing w:line="189" w:lineRule="exact" w:before="75"/>
              <w:ind w:left="69"/>
              <w:rPr>
                <w:rFonts w:ascii="Arial" w:hAnsi="Arial"/>
                <w:b/>
                <w:sz w:val="18"/>
              </w:rPr>
            </w:pPr>
            <w:r>
              <w:rPr>
                <w:rFonts w:ascii="Arial" w:hAnsi="Arial"/>
                <w:b/>
                <w:sz w:val="18"/>
              </w:rPr>
              <w:t>DESGLOSE</w:t>
            </w:r>
            <w:r>
              <w:rPr>
                <w:rFonts w:ascii="Arial" w:hAnsi="Arial"/>
                <w:b/>
                <w:spacing w:val="-7"/>
                <w:sz w:val="18"/>
              </w:rPr>
              <w:t> </w:t>
            </w:r>
            <w:r>
              <w:rPr>
                <w:rFonts w:ascii="Arial" w:hAnsi="Arial"/>
                <w:b/>
                <w:sz w:val="18"/>
              </w:rPr>
              <w:t>PLAN</w:t>
            </w:r>
            <w:r>
              <w:rPr>
                <w:rFonts w:ascii="Arial" w:hAnsi="Arial"/>
                <w:b/>
                <w:spacing w:val="-6"/>
                <w:sz w:val="18"/>
              </w:rPr>
              <w:t> </w:t>
            </w:r>
            <w:r>
              <w:rPr>
                <w:rFonts w:ascii="Arial" w:hAnsi="Arial"/>
                <w:b/>
                <w:sz w:val="18"/>
              </w:rPr>
              <w:t>ESTRATÉGICO</w:t>
            </w:r>
            <w:r>
              <w:rPr>
                <w:rFonts w:ascii="Arial" w:hAnsi="Arial"/>
                <w:b/>
                <w:spacing w:val="-7"/>
                <w:sz w:val="18"/>
              </w:rPr>
              <w:t> </w:t>
            </w:r>
            <w:r>
              <w:rPr>
                <w:rFonts w:ascii="Arial" w:hAnsi="Arial"/>
                <w:b/>
                <w:sz w:val="18"/>
              </w:rPr>
              <w:t>DE</w:t>
            </w:r>
            <w:r>
              <w:rPr>
                <w:rFonts w:ascii="Arial" w:hAnsi="Arial"/>
                <w:b/>
                <w:spacing w:val="-5"/>
                <w:sz w:val="18"/>
              </w:rPr>
              <w:t> </w:t>
            </w:r>
            <w:r>
              <w:rPr>
                <w:rFonts w:ascii="Arial" w:hAnsi="Arial"/>
                <w:b/>
                <w:sz w:val="18"/>
              </w:rPr>
              <w:t>SUBVENCIONES</w:t>
            </w:r>
            <w:r>
              <w:rPr>
                <w:rFonts w:ascii="Arial" w:hAnsi="Arial"/>
                <w:b/>
                <w:spacing w:val="-6"/>
                <w:sz w:val="18"/>
              </w:rPr>
              <w:t> </w:t>
            </w:r>
            <w:r>
              <w:rPr>
                <w:rFonts w:ascii="Arial" w:hAnsi="Arial"/>
                <w:b/>
                <w:spacing w:val="-4"/>
                <w:sz w:val="18"/>
              </w:rPr>
              <w:t>2024</w:t>
            </w:r>
          </w:p>
        </w:tc>
        <w:tc>
          <w:tcPr>
            <w:tcW w:w="1238" w:type="dxa"/>
            <w:tcBorders>
              <w:top w:val="nil"/>
              <w:bottom w:val="single" w:sz="4" w:space="0" w:color="000000"/>
            </w:tcBorders>
            <w:shd w:val="clear" w:color="auto" w:fill="C0C0C0"/>
          </w:tcPr>
          <w:p>
            <w:pPr>
              <w:pStyle w:val="TableParagraph"/>
              <w:spacing w:line="189" w:lineRule="exact" w:before="75"/>
              <w:ind w:left="69"/>
              <w:rPr>
                <w:rFonts w:ascii="Arial"/>
                <w:b/>
                <w:sz w:val="18"/>
              </w:rPr>
            </w:pPr>
            <w:r>
              <w:rPr>
                <w:rFonts w:ascii="Arial"/>
                <w:b/>
                <w:spacing w:val="-2"/>
                <w:sz w:val="18"/>
              </w:rPr>
              <w:t>MODALIDAD</w:t>
            </w:r>
          </w:p>
        </w:tc>
        <w:tc>
          <w:tcPr>
            <w:tcW w:w="1442" w:type="dxa"/>
            <w:tcBorders>
              <w:top w:val="nil"/>
              <w:bottom w:val="single" w:sz="4" w:space="0" w:color="000000"/>
            </w:tcBorders>
            <w:shd w:val="clear" w:color="auto" w:fill="C0C0C0"/>
          </w:tcPr>
          <w:p>
            <w:pPr>
              <w:pStyle w:val="TableParagraph"/>
              <w:spacing w:line="189" w:lineRule="exact" w:before="75"/>
              <w:ind w:left="20"/>
              <w:jc w:val="center"/>
              <w:rPr>
                <w:rFonts w:ascii="Arial"/>
                <w:b/>
                <w:sz w:val="18"/>
              </w:rPr>
            </w:pPr>
            <w:r>
              <w:rPr>
                <w:rFonts w:ascii="Arial"/>
                <w:b/>
                <w:spacing w:val="-2"/>
                <w:sz w:val="18"/>
              </w:rPr>
              <w:t>Presupuestaria</w:t>
            </w:r>
          </w:p>
        </w:tc>
        <w:tc>
          <w:tcPr>
            <w:tcW w:w="1360" w:type="dxa"/>
            <w:tcBorders>
              <w:top w:val="nil"/>
              <w:bottom w:val="single" w:sz="4" w:space="0" w:color="000000"/>
            </w:tcBorders>
            <w:shd w:val="clear" w:color="auto" w:fill="C0C0C0"/>
          </w:tcPr>
          <w:p>
            <w:pPr>
              <w:pStyle w:val="TableParagraph"/>
              <w:spacing w:line="189" w:lineRule="exact" w:before="75"/>
              <w:ind w:left="279"/>
              <w:rPr>
                <w:rFonts w:ascii="Arial"/>
                <w:b/>
                <w:sz w:val="18"/>
              </w:rPr>
            </w:pPr>
            <w:r>
              <w:rPr>
                <w:rFonts w:ascii="Arial"/>
                <w:b/>
                <w:spacing w:val="-2"/>
                <w:sz w:val="18"/>
              </w:rPr>
              <w:t>Previstas</w:t>
            </w:r>
          </w:p>
        </w:tc>
        <w:tc>
          <w:tcPr>
            <w:tcW w:w="1320" w:type="dxa"/>
            <w:tcBorders>
              <w:top w:val="nil"/>
              <w:bottom w:val="single" w:sz="4" w:space="0" w:color="000000"/>
            </w:tcBorders>
            <w:shd w:val="clear" w:color="auto" w:fill="C0C0C0"/>
          </w:tcPr>
          <w:p>
            <w:pPr>
              <w:pStyle w:val="TableParagraph"/>
              <w:spacing w:line="189" w:lineRule="exact" w:before="75"/>
              <w:ind w:right="44"/>
              <w:jc w:val="right"/>
              <w:rPr>
                <w:rFonts w:ascii="Arial"/>
                <w:b/>
                <w:sz w:val="18"/>
              </w:rPr>
            </w:pPr>
            <w:r>
              <w:rPr>
                <w:rFonts w:ascii="Arial"/>
                <w:b/>
                <w:spacing w:val="-2"/>
                <w:sz w:val="18"/>
              </w:rPr>
              <w:t>Patrimoniales</w:t>
            </w:r>
          </w:p>
        </w:tc>
        <w:tc>
          <w:tcPr>
            <w:tcW w:w="659" w:type="dxa"/>
            <w:tcBorders>
              <w:top w:val="nil"/>
              <w:bottom w:val="single" w:sz="4" w:space="0" w:color="000000"/>
            </w:tcBorders>
            <w:shd w:val="clear" w:color="auto" w:fill="C0C0C0"/>
          </w:tcPr>
          <w:p>
            <w:pPr>
              <w:pStyle w:val="TableParagraph"/>
              <w:spacing w:line="189" w:lineRule="exact" w:before="75"/>
              <w:ind w:left="25" w:right="2"/>
              <w:jc w:val="center"/>
              <w:rPr>
                <w:rFonts w:ascii="Arial"/>
                <w:b/>
                <w:sz w:val="18"/>
              </w:rPr>
            </w:pPr>
            <w:r>
              <w:rPr>
                <w:rFonts w:ascii="Arial"/>
                <w:b/>
                <w:spacing w:val="-4"/>
                <w:sz w:val="18"/>
              </w:rPr>
              <w:t>CCAA</w:t>
            </w:r>
          </w:p>
        </w:tc>
        <w:tc>
          <w:tcPr>
            <w:tcW w:w="1120" w:type="dxa"/>
            <w:tcBorders>
              <w:top w:val="nil"/>
              <w:bottom w:val="single" w:sz="4" w:space="0" w:color="000000"/>
            </w:tcBorders>
            <w:shd w:val="clear" w:color="auto" w:fill="C0C0C0"/>
          </w:tcPr>
          <w:p>
            <w:pPr>
              <w:pStyle w:val="TableParagraph"/>
              <w:spacing w:line="189" w:lineRule="exact" w:before="75"/>
              <w:ind w:right="44"/>
              <w:jc w:val="right"/>
              <w:rPr>
                <w:rFonts w:ascii="Arial"/>
                <w:b/>
                <w:sz w:val="18"/>
              </w:rPr>
            </w:pPr>
            <w:r>
              <w:rPr>
                <w:rFonts w:ascii="Arial"/>
                <w:b/>
                <w:sz w:val="18"/>
              </w:rPr>
              <w:t>Otras</w:t>
            </w:r>
            <w:r>
              <w:rPr>
                <w:rFonts w:ascii="Arial"/>
                <w:b/>
                <w:spacing w:val="-4"/>
                <w:sz w:val="18"/>
              </w:rPr>
              <w:t> EELL</w:t>
            </w:r>
          </w:p>
        </w:tc>
      </w:tr>
      <w:tr>
        <w:trPr>
          <w:trHeight w:val="285" w:hRule="atLeast"/>
        </w:trPr>
        <w:tc>
          <w:tcPr>
            <w:tcW w:w="1726"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37"/>
              <w:ind w:left="74"/>
              <w:rPr>
                <w:rFonts w:ascii="Arial" w:hAnsi="Arial"/>
                <w:b/>
                <w:sz w:val="18"/>
              </w:rPr>
            </w:pPr>
            <w:r>
              <w:rPr>
                <w:rFonts w:ascii="Arial" w:hAnsi="Arial"/>
                <w:b/>
                <w:spacing w:val="-2"/>
                <w:sz w:val="18"/>
              </w:rPr>
              <w:t>Alcaldía</w:t>
            </w:r>
          </w:p>
        </w:tc>
        <w:tc>
          <w:tcPr>
            <w:tcW w:w="527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Times New Roman"/>
                <w:sz w:val="18"/>
              </w:rPr>
            </w:pPr>
          </w:p>
        </w:tc>
        <w:tc>
          <w:tcPr>
            <w:tcW w:w="123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Times New Roman"/>
                <w:sz w:val="18"/>
              </w:rPr>
            </w:pPr>
          </w:p>
        </w:tc>
        <w:tc>
          <w:tcPr>
            <w:tcW w:w="1442"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Times New Roman"/>
                <w:sz w:val="18"/>
              </w:rPr>
            </w:pPr>
          </w:p>
        </w:tc>
        <w:tc>
          <w:tcPr>
            <w:tcW w:w="136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37"/>
              <w:ind w:right="50"/>
              <w:jc w:val="right"/>
              <w:rPr>
                <w:rFonts w:ascii="Arial" w:hAnsi="Arial"/>
                <w:b/>
                <w:sz w:val="18"/>
              </w:rPr>
            </w:pPr>
            <w:r>
              <w:rPr>
                <w:rFonts w:ascii="Arial" w:hAnsi="Arial"/>
                <w:b/>
                <w:sz w:val="18"/>
              </w:rPr>
              <w:t>221.640,00</w:t>
            </w:r>
            <w:r>
              <w:rPr>
                <w:rFonts w:ascii="Arial" w:hAnsi="Arial"/>
                <w:b/>
                <w:spacing w:val="-6"/>
                <w:sz w:val="18"/>
              </w:rPr>
              <w:t> </w:t>
            </w:r>
            <w:r>
              <w:rPr>
                <w:rFonts w:ascii="Arial" w:hAnsi="Arial"/>
                <w:b/>
                <w:spacing w:val="-10"/>
                <w:sz w:val="18"/>
              </w:rPr>
              <w:t>€</w:t>
            </w:r>
          </w:p>
        </w:tc>
        <w:tc>
          <w:tcPr>
            <w:tcW w:w="132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37"/>
              <w:ind w:right="50"/>
              <w:jc w:val="right"/>
              <w:rPr>
                <w:rFonts w:ascii="Arial" w:hAnsi="Arial"/>
                <w:b/>
                <w:sz w:val="18"/>
              </w:rPr>
            </w:pPr>
            <w:r>
              <w:rPr>
                <w:rFonts w:ascii="Arial" w:hAnsi="Arial"/>
                <w:b/>
                <w:sz w:val="18"/>
              </w:rPr>
              <w:t>221.640,00</w:t>
            </w:r>
            <w:r>
              <w:rPr>
                <w:rFonts w:ascii="Arial" w:hAnsi="Arial"/>
                <w:b/>
                <w:spacing w:val="-6"/>
                <w:sz w:val="18"/>
              </w:rPr>
              <w:t> </w:t>
            </w:r>
            <w:r>
              <w:rPr>
                <w:rFonts w:ascii="Arial" w:hAnsi="Arial"/>
                <w:b/>
                <w:spacing w:val="-10"/>
                <w:sz w:val="18"/>
              </w:rPr>
              <w:t>€</w:t>
            </w:r>
          </w:p>
        </w:tc>
        <w:tc>
          <w:tcPr>
            <w:tcW w:w="659"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37"/>
              <w:ind w:left="46"/>
              <w:jc w:val="center"/>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c>
          <w:tcPr>
            <w:tcW w:w="112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37"/>
              <w:ind w:right="47"/>
              <w:jc w:val="right"/>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r>
      <w:tr>
        <w:trPr>
          <w:trHeight w:val="413" w:hRule="atLeast"/>
        </w:trPr>
        <w:tc>
          <w:tcPr>
            <w:tcW w:w="1726"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rPr>
                <w:rFonts w:ascii="Times New Roman"/>
                <w:sz w:val="18"/>
              </w:rPr>
            </w:pPr>
          </w:p>
        </w:tc>
        <w:tc>
          <w:tcPr>
            <w:tcW w:w="5273"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line="208" w:lineRule="exact"/>
              <w:ind w:left="74"/>
              <w:rPr>
                <w:sz w:val="18"/>
              </w:rPr>
            </w:pPr>
            <w:r>
              <w:rPr>
                <w:sz w:val="18"/>
              </w:rPr>
              <w:t>Ayudas</w:t>
            </w:r>
            <w:r>
              <w:rPr>
                <w:spacing w:val="-4"/>
                <w:sz w:val="18"/>
              </w:rPr>
              <w:t> </w:t>
            </w:r>
            <w:r>
              <w:rPr>
                <w:sz w:val="18"/>
              </w:rPr>
              <w:t>a</w:t>
            </w:r>
            <w:r>
              <w:rPr>
                <w:spacing w:val="-6"/>
                <w:sz w:val="18"/>
              </w:rPr>
              <w:t> </w:t>
            </w:r>
            <w:r>
              <w:rPr>
                <w:sz w:val="18"/>
              </w:rPr>
              <w:t>grupos</w:t>
            </w:r>
            <w:r>
              <w:rPr>
                <w:spacing w:val="-5"/>
                <w:sz w:val="18"/>
              </w:rPr>
              <w:t> </w:t>
            </w:r>
            <w:r>
              <w:rPr>
                <w:sz w:val="18"/>
              </w:rPr>
              <w:t>políticos</w:t>
            </w:r>
            <w:r>
              <w:rPr>
                <w:spacing w:val="-5"/>
                <w:sz w:val="18"/>
              </w:rPr>
              <w:t> </w:t>
            </w:r>
            <w:r>
              <w:rPr>
                <w:sz w:val="18"/>
              </w:rPr>
              <w:t>municipales</w:t>
            </w:r>
            <w:r>
              <w:rPr>
                <w:spacing w:val="-5"/>
                <w:sz w:val="18"/>
              </w:rPr>
              <w:t> </w:t>
            </w:r>
            <w:r>
              <w:rPr>
                <w:sz w:val="18"/>
              </w:rPr>
              <w:t>para</w:t>
            </w:r>
            <w:r>
              <w:rPr>
                <w:spacing w:val="-6"/>
                <w:sz w:val="18"/>
              </w:rPr>
              <w:t> </w:t>
            </w:r>
            <w:r>
              <w:rPr>
                <w:sz w:val="18"/>
              </w:rPr>
              <w:t>el</w:t>
            </w:r>
            <w:r>
              <w:rPr>
                <w:spacing w:val="-5"/>
                <w:sz w:val="18"/>
              </w:rPr>
              <w:t> </w:t>
            </w:r>
            <w:r>
              <w:rPr>
                <w:sz w:val="18"/>
              </w:rPr>
              <w:t>ejercicio</w:t>
            </w:r>
            <w:r>
              <w:rPr>
                <w:spacing w:val="-5"/>
                <w:sz w:val="18"/>
              </w:rPr>
              <w:t> </w:t>
            </w:r>
            <w:r>
              <w:rPr>
                <w:sz w:val="18"/>
              </w:rPr>
              <w:t>de</w:t>
            </w:r>
            <w:r>
              <w:rPr>
                <w:spacing w:val="-5"/>
                <w:sz w:val="18"/>
              </w:rPr>
              <w:t> </w:t>
            </w:r>
            <w:r>
              <w:rPr>
                <w:sz w:val="18"/>
              </w:rPr>
              <w:t>su actividad política</w:t>
            </w:r>
          </w:p>
        </w:tc>
        <w:tc>
          <w:tcPr>
            <w:tcW w:w="123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before="102"/>
              <w:ind w:left="74"/>
              <w:rPr>
                <w:sz w:val="18"/>
              </w:rPr>
            </w:pPr>
            <w:r>
              <w:rPr>
                <w:spacing w:val="-2"/>
                <w:sz w:val="18"/>
              </w:rPr>
              <w:t>Nominativa</w:t>
            </w:r>
          </w:p>
        </w:tc>
        <w:tc>
          <w:tcPr>
            <w:tcW w:w="1442"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before="102"/>
              <w:ind w:left="17"/>
              <w:jc w:val="center"/>
              <w:rPr>
                <w:sz w:val="18"/>
              </w:rPr>
            </w:pPr>
            <w:r>
              <w:rPr>
                <w:spacing w:val="-2"/>
                <w:sz w:val="18"/>
              </w:rPr>
              <w:t>912.48000</w:t>
            </w:r>
          </w:p>
        </w:tc>
        <w:tc>
          <w:tcPr>
            <w:tcW w:w="1360" w:type="dxa"/>
            <w:tcBorders>
              <w:top w:val="single" w:sz="4" w:space="0" w:color="000000"/>
              <w:left w:val="single" w:sz="4" w:space="0" w:color="000000"/>
              <w:bottom w:val="single" w:sz="4" w:space="0" w:color="000000"/>
              <w:right w:val="single" w:sz="4" w:space="0" w:color="000000"/>
            </w:tcBorders>
            <w:shd w:val="clear" w:color="auto" w:fill="99CC00"/>
          </w:tcPr>
          <w:p>
            <w:pPr>
              <w:pStyle w:val="TableParagraph"/>
              <w:spacing w:before="102"/>
              <w:ind w:right="49"/>
              <w:jc w:val="right"/>
              <w:rPr>
                <w:sz w:val="18"/>
              </w:rPr>
            </w:pPr>
            <w:r>
              <w:rPr>
                <w:spacing w:val="4"/>
                <w:w w:val="90"/>
                <w:sz w:val="18"/>
              </w:rPr>
              <w:t>41.640,00</w:t>
            </w:r>
            <w:r>
              <w:rPr>
                <w:spacing w:val="38"/>
                <w:sz w:val="18"/>
              </w:rPr>
              <w:t> </w:t>
            </w:r>
            <w:r>
              <w:rPr>
                <w:spacing w:val="-10"/>
                <w:w w:val="90"/>
                <w:sz w:val="18"/>
              </w:rPr>
              <w:t>€</w:t>
            </w:r>
          </w:p>
        </w:tc>
        <w:tc>
          <w:tcPr>
            <w:tcW w:w="1320" w:type="dxa"/>
            <w:tcBorders>
              <w:top w:val="single" w:sz="4" w:space="0" w:color="000000"/>
              <w:left w:val="single" w:sz="4" w:space="0" w:color="000000"/>
              <w:bottom w:val="single" w:sz="4" w:space="0" w:color="000000"/>
              <w:right w:val="single" w:sz="4" w:space="0" w:color="000000"/>
            </w:tcBorders>
          </w:tcPr>
          <w:p>
            <w:pPr>
              <w:pStyle w:val="TableParagraph"/>
              <w:spacing w:before="102"/>
              <w:ind w:right="49"/>
              <w:jc w:val="right"/>
              <w:rPr>
                <w:sz w:val="18"/>
              </w:rPr>
            </w:pPr>
            <w:r>
              <w:rPr>
                <w:spacing w:val="4"/>
                <w:w w:val="90"/>
                <w:sz w:val="18"/>
              </w:rPr>
              <w:t>41.640,00</w:t>
            </w:r>
            <w:r>
              <w:rPr>
                <w:spacing w:val="38"/>
                <w:sz w:val="18"/>
              </w:rPr>
              <w:t> </w:t>
            </w:r>
            <w:r>
              <w:rPr>
                <w:spacing w:val="-10"/>
                <w:w w:val="90"/>
                <w:sz w:val="18"/>
              </w:rPr>
              <w:t>€</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1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411" w:hRule="atLeast"/>
        </w:trPr>
        <w:tc>
          <w:tcPr>
            <w:tcW w:w="1726"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rPr>
                <w:rFonts w:ascii="Times New Roman"/>
                <w:sz w:val="18"/>
              </w:rPr>
            </w:pPr>
          </w:p>
        </w:tc>
        <w:tc>
          <w:tcPr>
            <w:tcW w:w="5273"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line="203" w:lineRule="exact"/>
              <w:ind w:left="74"/>
              <w:rPr>
                <w:sz w:val="18"/>
              </w:rPr>
            </w:pPr>
            <w:r>
              <w:rPr>
                <w:sz w:val="18"/>
              </w:rPr>
              <w:t>Para</w:t>
            </w:r>
            <w:r>
              <w:rPr>
                <w:spacing w:val="-3"/>
                <w:sz w:val="18"/>
              </w:rPr>
              <w:t> </w:t>
            </w:r>
            <w:r>
              <w:rPr>
                <w:sz w:val="18"/>
              </w:rPr>
              <w:t>sufragar</w:t>
            </w:r>
            <w:r>
              <w:rPr>
                <w:spacing w:val="-3"/>
                <w:sz w:val="18"/>
              </w:rPr>
              <w:t> </w:t>
            </w:r>
            <w:r>
              <w:rPr>
                <w:sz w:val="18"/>
              </w:rPr>
              <w:t>gastos</w:t>
            </w:r>
            <w:r>
              <w:rPr>
                <w:spacing w:val="-1"/>
                <w:sz w:val="18"/>
              </w:rPr>
              <w:t> </w:t>
            </w:r>
            <w:r>
              <w:rPr>
                <w:sz w:val="18"/>
              </w:rPr>
              <w:t>de</w:t>
            </w:r>
            <w:r>
              <w:rPr>
                <w:spacing w:val="-5"/>
                <w:sz w:val="18"/>
              </w:rPr>
              <w:t> </w:t>
            </w:r>
            <w:r>
              <w:rPr>
                <w:sz w:val="18"/>
              </w:rPr>
              <w:t>explotación</w:t>
            </w:r>
            <w:r>
              <w:rPr>
                <w:spacing w:val="-2"/>
                <w:sz w:val="18"/>
              </w:rPr>
              <w:t> </w:t>
            </w:r>
            <w:r>
              <w:rPr>
                <w:sz w:val="18"/>
              </w:rPr>
              <w:t>de</w:t>
            </w:r>
            <w:r>
              <w:rPr>
                <w:spacing w:val="-5"/>
                <w:sz w:val="18"/>
              </w:rPr>
              <w:t> </w:t>
            </w:r>
            <w:r>
              <w:rPr>
                <w:sz w:val="18"/>
              </w:rPr>
              <w:t>la</w:t>
            </w:r>
            <w:r>
              <w:rPr>
                <w:spacing w:val="-4"/>
                <w:sz w:val="18"/>
              </w:rPr>
              <w:t> </w:t>
            </w:r>
            <w:r>
              <w:rPr>
                <w:sz w:val="18"/>
              </w:rPr>
              <w:t>mancomunidad</w:t>
            </w:r>
            <w:r>
              <w:rPr>
                <w:spacing w:val="-2"/>
                <w:sz w:val="18"/>
              </w:rPr>
              <w:t> </w:t>
            </w:r>
            <w:r>
              <w:rPr>
                <w:spacing w:val="-5"/>
                <w:sz w:val="18"/>
              </w:rPr>
              <w:t>del</w:t>
            </w:r>
          </w:p>
          <w:p>
            <w:pPr>
              <w:pStyle w:val="TableParagraph"/>
              <w:spacing w:line="187" w:lineRule="exact" w:before="2"/>
              <w:ind w:left="74"/>
              <w:rPr>
                <w:sz w:val="18"/>
              </w:rPr>
            </w:pPr>
            <w:r>
              <w:rPr>
                <w:spacing w:val="-2"/>
                <w:sz w:val="18"/>
              </w:rPr>
              <w:t>Norte</w:t>
            </w:r>
          </w:p>
        </w:tc>
        <w:tc>
          <w:tcPr>
            <w:tcW w:w="123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before="101"/>
              <w:ind w:left="74"/>
              <w:rPr>
                <w:sz w:val="18"/>
              </w:rPr>
            </w:pPr>
            <w:r>
              <w:rPr>
                <w:spacing w:val="-2"/>
                <w:sz w:val="18"/>
              </w:rPr>
              <w:t>Nominativa</w:t>
            </w:r>
          </w:p>
        </w:tc>
        <w:tc>
          <w:tcPr>
            <w:tcW w:w="1442"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before="101"/>
              <w:ind w:left="17"/>
              <w:jc w:val="center"/>
              <w:rPr>
                <w:sz w:val="18"/>
              </w:rPr>
            </w:pPr>
            <w:r>
              <w:rPr>
                <w:spacing w:val="-2"/>
                <w:sz w:val="18"/>
              </w:rPr>
              <w:t>920.46300</w:t>
            </w:r>
          </w:p>
        </w:tc>
        <w:tc>
          <w:tcPr>
            <w:tcW w:w="1360" w:type="dxa"/>
            <w:tcBorders>
              <w:top w:val="single" w:sz="4" w:space="0" w:color="000000"/>
              <w:left w:val="single" w:sz="4" w:space="0" w:color="000000"/>
              <w:bottom w:val="single" w:sz="4" w:space="0" w:color="000000"/>
              <w:right w:val="single" w:sz="4" w:space="0" w:color="000000"/>
            </w:tcBorders>
            <w:shd w:val="clear" w:color="auto" w:fill="99CC00"/>
          </w:tcPr>
          <w:p>
            <w:pPr>
              <w:pStyle w:val="TableParagraph"/>
              <w:spacing w:before="101"/>
              <w:ind w:right="49"/>
              <w:jc w:val="right"/>
              <w:rPr>
                <w:sz w:val="18"/>
              </w:rPr>
            </w:pPr>
            <w:r>
              <w:rPr>
                <w:spacing w:val="4"/>
                <w:w w:val="90"/>
                <w:sz w:val="18"/>
              </w:rPr>
              <w:t>80.000,00</w:t>
            </w:r>
            <w:r>
              <w:rPr>
                <w:spacing w:val="38"/>
                <w:sz w:val="18"/>
              </w:rPr>
              <w:t> </w:t>
            </w:r>
            <w:r>
              <w:rPr>
                <w:spacing w:val="-10"/>
                <w:w w:val="90"/>
                <w:sz w:val="18"/>
              </w:rPr>
              <w:t>€</w:t>
            </w:r>
          </w:p>
        </w:tc>
        <w:tc>
          <w:tcPr>
            <w:tcW w:w="1320" w:type="dxa"/>
            <w:tcBorders>
              <w:top w:val="single" w:sz="4" w:space="0" w:color="000000"/>
              <w:left w:val="single" w:sz="4" w:space="0" w:color="000000"/>
              <w:bottom w:val="single" w:sz="4" w:space="0" w:color="000000"/>
              <w:right w:val="single" w:sz="4" w:space="0" w:color="000000"/>
            </w:tcBorders>
          </w:tcPr>
          <w:p>
            <w:pPr>
              <w:pStyle w:val="TableParagraph"/>
              <w:spacing w:before="101"/>
              <w:ind w:right="49"/>
              <w:jc w:val="right"/>
              <w:rPr>
                <w:sz w:val="18"/>
              </w:rPr>
            </w:pPr>
            <w:r>
              <w:rPr>
                <w:spacing w:val="4"/>
                <w:w w:val="90"/>
                <w:sz w:val="18"/>
              </w:rPr>
              <w:t>80.000,00</w:t>
            </w:r>
            <w:r>
              <w:rPr>
                <w:spacing w:val="38"/>
                <w:sz w:val="18"/>
              </w:rPr>
              <w:t> </w:t>
            </w:r>
            <w:r>
              <w:rPr>
                <w:spacing w:val="-10"/>
                <w:w w:val="90"/>
                <w:sz w:val="18"/>
              </w:rPr>
              <w:t>€</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1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285" w:hRule="atLeast"/>
        </w:trPr>
        <w:tc>
          <w:tcPr>
            <w:tcW w:w="1726"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rPr>
                <w:rFonts w:ascii="Times New Roman"/>
                <w:sz w:val="18"/>
              </w:rPr>
            </w:pPr>
          </w:p>
        </w:tc>
        <w:tc>
          <w:tcPr>
            <w:tcW w:w="5273"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before="37"/>
              <w:ind w:left="74"/>
              <w:rPr>
                <w:sz w:val="18"/>
              </w:rPr>
            </w:pPr>
            <w:r>
              <w:rPr>
                <w:sz w:val="18"/>
              </w:rPr>
              <w:t>Ayudas</w:t>
            </w:r>
            <w:r>
              <w:rPr>
                <w:spacing w:val="-3"/>
                <w:sz w:val="18"/>
              </w:rPr>
              <w:t> </w:t>
            </w:r>
            <w:r>
              <w:rPr>
                <w:sz w:val="18"/>
              </w:rPr>
              <w:t>y</w:t>
            </w:r>
            <w:r>
              <w:rPr>
                <w:spacing w:val="-4"/>
                <w:sz w:val="18"/>
              </w:rPr>
              <w:t> </w:t>
            </w:r>
            <w:r>
              <w:rPr>
                <w:sz w:val="18"/>
              </w:rPr>
              <w:t>subvenciones</w:t>
            </w:r>
            <w:r>
              <w:rPr>
                <w:spacing w:val="-3"/>
                <w:sz w:val="18"/>
              </w:rPr>
              <w:t> </w:t>
            </w:r>
            <w:r>
              <w:rPr>
                <w:sz w:val="18"/>
              </w:rPr>
              <w:t>para</w:t>
            </w:r>
            <w:r>
              <w:rPr>
                <w:spacing w:val="-3"/>
                <w:sz w:val="18"/>
              </w:rPr>
              <w:t> </w:t>
            </w:r>
            <w:r>
              <w:rPr>
                <w:sz w:val="18"/>
              </w:rPr>
              <w:t>proyectos</w:t>
            </w:r>
            <w:r>
              <w:rPr>
                <w:spacing w:val="-2"/>
                <w:sz w:val="18"/>
              </w:rPr>
              <w:t> varios</w:t>
            </w:r>
          </w:p>
        </w:tc>
        <w:tc>
          <w:tcPr>
            <w:tcW w:w="123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before="37"/>
              <w:ind w:left="74"/>
              <w:rPr>
                <w:sz w:val="18"/>
              </w:rPr>
            </w:pPr>
            <w:r>
              <w:rPr>
                <w:spacing w:val="-2"/>
                <w:sz w:val="18"/>
              </w:rPr>
              <w:t>Competitiva</w:t>
            </w:r>
          </w:p>
        </w:tc>
        <w:tc>
          <w:tcPr>
            <w:tcW w:w="1442"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before="37"/>
              <w:ind w:left="17"/>
              <w:jc w:val="center"/>
              <w:rPr>
                <w:sz w:val="18"/>
              </w:rPr>
            </w:pPr>
            <w:r>
              <w:rPr>
                <w:spacing w:val="-2"/>
                <w:sz w:val="18"/>
              </w:rPr>
              <w:t>920.48000</w:t>
            </w:r>
          </w:p>
        </w:tc>
        <w:tc>
          <w:tcPr>
            <w:tcW w:w="1360" w:type="dxa"/>
            <w:tcBorders>
              <w:top w:val="single" w:sz="4" w:space="0" w:color="000000"/>
              <w:left w:val="single" w:sz="4" w:space="0" w:color="000000"/>
              <w:bottom w:val="single" w:sz="4" w:space="0" w:color="000000"/>
              <w:right w:val="single" w:sz="4" w:space="0" w:color="000000"/>
            </w:tcBorders>
            <w:shd w:val="clear" w:color="auto" w:fill="99CC00"/>
          </w:tcPr>
          <w:p>
            <w:pPr>
              <w:pStyle w:val="TableParagraph"/>
              <w:spacing w:before="37"/>
              <w:ind w:right="50"/>
              <w:jc w:val="right"/>
              <w:rPr>
                <w:sz w:val="18"/>
              </w:rPr>
            </w:pPr>
            <w:r>
              <w:rPr>
                <w:spacing w:val="4"/>
                <w:w w:val="90"/>
                <w:sz w:val="18"/>
              </w:rPr>
              <w:t>100.000,00</w:t>
            </w:r>
            <w:r>
              <w:rPr>
                <w:spacing w:val="44"/>
                <w:sz w:val="18"/>
              </w:rPr>
              <w:t> </w:t>
            </w:r>
            <w:r>
              <w:rPr>
                <w:spacing w:val="-10"/>
                <w:w w:val="90"/>
                <w:sz w:val="18"/>
              </w:rPr>
              <w:t>€</w:t>
            </w:r>
          </w:p>
        </w:tc>
        <w:tc>
          <w:tcPr>
            <w:tcW w:w="1320" w:type="dxa"/>
            <w:tcBorders>
              <w:top w:val="single" w:sz="4" w:space="0" w:color="000000"/>
              <w:left w:val="single" w:sz="4" w:space="0" w:color="000000"/>
              <w:bottom w:val="single" w:sz="4" w:space="0" w:color="000000"/>
              <w:right w:val="single" w:sz="4" w:space="0" w:color="000000"/>
            </w:tcBorders>
          </w:tcPr>
          <w:p>
            <w:pPr>
              <w:pStyle w:val="TableParagraph"/>
              <w:spacing w:before="37"/>
              <w:ind w:right="50"/>
              <w:jc w:val="right"/>
              <w:rPr>
                <w:sz w:val="18"/>
              </w:rPr>
            </w:pPr>
            <w:r>
              <w:rPr>
                <w:spacing w:val="4"/>
                <w:w w:val="90"/>
                <w:sz w:val="18"/>
              </w:rPr>
              <w:t>100.000,00</w:t>
            </w:r>
            <w:r>
              <w:rPr>
                <w:spacing w:val="44"/>
                <w:sz w:val="18"/>
              </w:rPr>
              <w:t> </w:t>
            </w:r>
            <w:r>
              <w:rPr>
                <w:spacing w:val="-10"/>
                <w:w w:val="90"/>
                <w:sz w:val="18"/>
              </w:rPr>
              <w:t>€</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1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414" w:hRule="atLeast"/>
        </w:trPr>
        <w:tc>
          <w:tcPr>
            <w:tcW w:w="1726"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06" w:lineRule="exact"/>
              <w:ind w:left="74" w:right="84"/>
              <w:rPr>
                <w:rFonts w:ascii="Arial"/>
                <w:b/>
                <w:sz w:val="18"/>
              </w:rPr>
            </w:pPr>
            <w:r>
              <w:rPr>
                <w:rFonts w:ascii="Arial"/>
                <w:b/>
                <w:spacing w:val="-2"/>
                <w:sz w:val="18"/>
              </w:rPr>
              <w:t>Presidencia, </w:t>
            </w:r>
            <w:r>
              <w:rPr>
                <w:rFonts w:ascii="Arial"/>
                <w:b/>
                <w:sz w:val="18"/>
              </w:rPr>
              <w:t>cultura</w:t>
            </w:r>
            <w:r>
              <w:rPr>
                <w:rFonts w:ascii="Arial"/>
                <w:b/>
                <w:spacing w:val="-15"/>
                <w:sz w:val="18"/>
              </w:rPr>
              <w:t> </w:t>
            </w:r>
            <w:r>
              <w:rPr>
                <w:rFonts w:ascii="Arial"/>
                <w:b/>
                <w:sz w:val="18"/>
              </w:rPr>
              <w:t>y</w:t>
            </w:r>
            <w:r>
              <w:rPr>
                <w:rFonts w:ascii="Arial"/>
                <w:b/>
                <w:spacing w:val="-12"/>
                <w:sz w:val="18"/>
              </w:rPr>
              <w:t> </w:t>
            </w:r>
            <w:r>
              <w:rPr>
                <w:rFonts w:ascii="Arial"/>
                <w:b/>
                <w:sz w:val="18"/>
              </w:rPr>
              <w:t>fiestas</w:t>
            </w:r>
          </w:p>
        </w:tc>
        <w:tc>
          <w:tcPr>
            <w:tcW w:w="527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Times New Roman"/>
                <w:sz w:val="18"/>
              </w:rPr>
            </w:pPr>
          </w:p>
        </w:tc>
        <w:tc>
          <w:tcPr>
            <w:tcW w:w="123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Times New Roman"/>
                <w:sz w:val="18"/>
              </w:rPr>
            </w:pPr>
          </w:p>
        </w:tc>
        <w:tc>
          <w:tcPr>
            <w:tcW w:w="1442"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Times New Roman"/>
                <w:sz w:val="18"/>
              </w:rPr>
            </w:pPr>
          </w:p>
        </w:tc>
        <w:tc>
          <w:tcPr>
            <w:tcW w:w="136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02"/>
              <w:ind w:right="50"/>
              <w:jc w:val="right"/>
              <w:rPr>
                <w:rFonts w:ascii="Arial" w:hAnsi="Arial"/>
                <w:b/>
                <w:sz w:val="18"/>
              </w:rPr>
            </w:pPr>
            <w:r>
              <w:rPr>
                <w:rFonts w:ascii="Arial" w:hAnsi="Arial"/>
                <w:b/>
                <w:sz w:val="18"/>
              </w:rPr>
              <w:t>255.000,00</w:t>
            </w:r>
            <w:r>
              <w:rPr>
                <w:rFonts w:ascii="Arial" w:hAnsi="Arial"/>
                <w:b/>
                <w:spacing w:val="-6"/>
                <w:sz w:val="18"/>
              </w:rPr>
              <w:t> </w:t>
            </w:r>
            <w:r>
              <w:rPr>
                <w:rFonts w:ascii="Arial" w:hAnsi="Arial"/>
                <w:b/>
                <w:spacing w:val="-10"/>
                <w:sz w:val="18"/>
              </w:rPr>
              <w:t>€</w:t>
            </w:r>
          </w:p>
        </w:tc>
        <w:tc>
          <w:tcPr>
            <w:tcW w:w="132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02"/>
              <w:ind w:right="50"/>
              <w:jc w:val="right"/>
              <w:rPr>
                <w:rFonts w:ascii="Arial" w:hAnsi="Arial"/>
                <w:b/>
                <w:sz w:val="18"/>
              </w:rPr>
            </w:pPr>
            <w:r>
              <w:rPr>
                <w:rFonts w:ascii="Arial" w:hAnsi="Arial"/>
                <w:b/>
                <w:sz w:val="18"/>
              </w:rPr>
              <w:t>255.000,00</w:t>
            </w:r>
            <w:r>
              <w:rPr>
                <w:rFonts w:ascii="Arial" w:hAnsi="Arial"/>
                <w:b/>
                <w:spacing w:val="-6"/>
                <w:sz w:val="18"/>
              </w:rPr>
              <w:t> </w:t>
            </w:r>
            <w:r>
              <w:rPr>
                <w:rFonts w:ascii="Arial" w:hAnsi="Arial"/>
                <w:b/>
                <w:spacing w:val="-10"/>
                <w:sz w:val="18"/>
              </w:rPr>
              <w:t>€</w:t>
            </w:r>
          </w:p>
        </w:tc>
        <w:tc>
          <w:tcPr>
            <w:tcW w:w="659"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02"/>
              <w:ind w:left="46"/>
              <w:jc w:val="center"/>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c>
          <w:tcPr>
            <w:tcW w:w="112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02"/>
              <w:ind w:right="47"/>
              <w:jc w:val="right"/>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r>
      <w:tr>
        <w:trPr>
          <w:trHeight w:val="479" w:hRule="atLeast"/>
        </w:trPr>
        <w:tc>
          <w:tcPr>
            <w:tcW w:w="1726"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rPr>
                <w:rFonts w:ascii="Times New Roman"/>
                <w:sz w:val="18"/>
              </w:rPr>
            </w:pPr>
          </w:p>
        </w:tc>
        <w:tc>
          <w:tcPr>
            <w:tcW w:w="5273"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before="30"/>
              <w:ind w:left="74"/>
              <w:rPr>
                <w:sz w:val="18"/>
              </w:rPr>
            </w:pPr>
            <w:r>
              <w:rPr>
                <w:sz w:val="18"/>
              </w:rPr>
              <w:t>Para</w:t>
            </w:r>
            <w:r>
              <w:rPr>
                <w:spacing w:val="-5"/>
                <w:sz w:val="18"/>
              </w:rPr>
              <w:t> </w:t>
            </w:r>
            <w:r>
              <w:rPr>
                <w:sz w:val="18"/>
              </w:rPr>
              <w:t>sufragar</w:t>
            </w:r>
            <w:r>
              <w:rPr>
                <w:spacing w:val="-5"/>
                <w:sz w:val="18"/>
              </w:rPr>
              <w:t> </w:t>
            </w:r>
            <w:r>
              <w:rPr>
                <w:sz w:val="18"/>
              </w:rPr>
              <w:t>gastos</w:t>
            </w:r>
            <w:r>
              <w:rPr>
                <w:spacing w:val="-4"/>
                <w:sz w:val="18"/>
              </w:rPr>
              <w:t> </w:t>
            </w:r>
            <w:r>
              <w:rPr>
                <w:sz w:val="18"/>
              </w:rPr>
              <w:t>de</w:t>
            </w:r>
            <w:r>
              <w:rPr>
                <w:spacing w:val="-7"/>
                <w:sz w:val="18"/>
              </w:rPr>
              <w:t> </w:t>
            </w:r>
            <w:r>
              <w:rPr>
                <w:sz w:val="18"/>
              </w:rPr>
              <w:t>explotación</w:t>
            </w:r>
            <w:r>
              <w:rPr>
                <w:spacing w:val="-5"/>
                <w:sz w:val="18"/>
              </w:rPr>
              <w:t> </w:t>
            </w:r>
            <w:r>
              <w:rPr>
                <w:sz w:val="18"/>
              </w:rPr>
              <w:t>de</w:t>
            </w:r>
            <w:r>
              <w:rPr>
                <w:spacing w:val="-7"/>
                <w:sz w:val="18"/>
              </w:rPr>
              <w:t> </w:t>
            </w:r>
            <w:r>
              <w:rPr>
                <w:sz w:val="18"/>
              </w:rPr>
              <w:t>la</w:t>
            </w:r>
            <w:r>
              <w:rPr>
                <w:spacing w:val="-7"/>
                <w:sz w:val="18"/>
              </w:rPr>
              <w:t> </w:t>
            </w:r>
            <w:r>
              <w:rPr>
                <w:sz w:val="18"/>
              </w:rPr>
              <w:t>Fundación</w:t>
            </w:r>
            <w:r>
              <w:rPr>
                <w:spacing w:val="-5"/>
                <w:sz w:val="18"/>
              </w:rPr>
              <w:t> </w:t>
            </w:r>
            <w:r>
              <w:rPr>
                <w:sz w:val="18"/>
              </w:rPr>
              <w:t>Canaria Ciudad de Gáldar</w:t>
            </w:r>
          </w:p>
        </w:tc>
        <w:tc>
          <w:tcPr>
            <w:tcW w:w="123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before="135"/>
              <w:ind w:left="74"/>
              <w:rPr>
                <w:sz w:val="18"/>
              </w:rPr>
            </w:pPr>
            <w:r>
              <w:rPr>
                <w:spacing w:val="-2"/>
                <w:sz w:val="18"/>
              </w:rPr>
              <w:t>Nominativa</w:t>
            </w:r>
          </w:p>
        </w:tc>
        <w:tc>
          <w:tcPr>
            <w:tcW w:w="1442"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before="135"/>
              <w:ind w:left="17"/>
              <w:jc w:val="center"/>
              <w:rPr>
                <w:sz w:val="18"/>
              </w:rPr>
            </w:pPr>
            <w:r>
              <w:rPr>
                <w:spacing w:val="-2"/>
                <w:sz w:val="18"/>
              </w:rPr>
              <w:t>330.44900</w:t>
            </w:r>
          </w:p>
        </w:tc>
        <w:tc>
          <w:tcPr>
            <w:tcW w:w="1360" w:type="dxa"/>
            <w:tcBorders>
              <w:top w:val="single" w:sz="4" w:space="0" w:color="000000"/>
              <w:left w:val="single" w:sz="4" w:space="0" w:color="000000"/>
              <w:bottom w:val="single" w:sz="4" w:space="0" w:color="000000"/>
              <w:right w:val="single" w:sz="4" w:space="0" w:color="000000"/>
            </w:tcBorders>
            <w:shd w:val="clear" w:color="auto" w:fill="99CC00"/>
          </w:tcPr>
          <w:p>
            <w:pPr>
              <w:pStyle w:val="TableParagraph"/>
              <w:spacing w:before="135"/>
              <w:ind w:right="50"/>
              <w:jc w:val="right"/>
              <w:rPr>
                <w:sz w:val="18"/>
              </w:rPr>
            </w:pPr>
            <w:r>
              <w:rPr>
                <w:spacing w:val="4"/>
                <w:w w:val="90"/>
                <w:sz w:val="18"/>
              </w:rPr>
              <w:t>130.000,00</w:t>
            </w:r>
            <w:r>
              <w:rPr>
                <w:spacing w:val="44"/>
                <w:sz w:val="18"/>
              </w:rPr>
              <w:t> </w:t>
            </w:r>
            <w:r>
              <w:rPr>
                <w:spacing w:val="-10"/>
                <w:w w:val="90"/>
                <w:sz w:val="18"/>
              </w:rPr>
              <w:t>€</w:t>
            </w:r>
          </w:p>
        </w:tc>
        <w:tc>
          <w:tcPr>
            <w:tcW w:w="1320" w:type="dxa"/>
            <w:tcBorders>
              <w:top w:val="single" w:sz="4" w:space="0" w:color="000000"/>
              <w:left w:val="single" w:sz="4" w:space="0" w:color="000000"/>
              <w:bottom w:val="single" w:sz="4" w:space="0" w:color="000000"/>
              <w:right w:val="single" w:sz="4" w:space="0" w:color="000000"/>
            </w:tcBorders>
          </w:tcPr>
          <w:p>
            <w:pPr>
              <w:pStyle w:val="TableParagraph"/>
              <w:spacing w:before="135"/>
              <w:ind w:right="50"/>
              <w:jc w:val="right"/>
              <w:rPr>
                <w:sz w:val="18"/>
              </w:rPr>
            </w:pPr>
            <w:r>
              <w:rPr>
                <w:spacing w:val="4"/>
                <w:w w:val="90"/>
                <w:sz w:val="18"/>
              </w:rPr>
              <w:t>130.000,00</w:t>
            </w:r>
            <w:r>
              <w:rPr>
                <w:spacing w:val="44"/>
                <w:sz w:val="18"/>
              </w:rPr>
              <w:t> </w:t>
            </w:r>
            <w:r>
              <w:rPr>
                <w:spacing w:val="-10"/>
                <w:w w:val="90"/>
                <w:sz w:val="18"/>
              </w:rPr>
              <w:t>€</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1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412" w:hRule="atLeast"/>
        </w:trPr>
        <w:tc>
          <w:tcPr>
            <w:tcW w:w="1726"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rPr>
                <w:rFonts w:ascii="Times New Roman"/>
                <w:sz w:val="18"/>
              </w:rPr>
            </w:pPr>
          </w:p>
        </w:tc>
        <w:tc>
          <w:tcPr>
            <w:tcW w:w="5273"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line="206" w:lineRule="exact"/>
              <w:ind w:left="74"/>
              <w:rPr>
                <w:sz w:val="18"/>
              </w:rPr>
            </w:pPr>
            <w:r>
              <w:rPr>
                <w:sz w:val="18"/>
              </w:rPr>
              <w:t>Ayudas</w:t>
            </w:r>
            <w:r>
              <w:rPr>
                <w:spacing w:val="-3"/>
                <w:sz w:val="18"/>
              </w:rPr>
              <w:t> </w:t>
            </w:r>
            <w:r>
              <w:rPr>
                <w:sz w:val="18"/>
              </w:rPr>
              <w:t>y</w:t>
            </w:r>
            <w:r>
              <w:rPr>
                <w:spacing w:val="-5"/>
                <w:sz w:val="18"/>
              </w:rPr>
              <w:t> </w:t>
            </w:r>
            <w:r>
              <w:rPr>
                <w:sz w:val="18"/>
              </w:rPr>
              <w:t>subvenciones</w:t>
            </w:r>
            <w:r>
              <w:rPr>
                <w:spacing w:val="-3"/>
                <w:sz w:val="18"/>
              </w:rPr>
              <w:t> </w:t>
            </w:r>
            <w:r>
              <w:rPr>
                <w:sz w:val="18"/>
              </w:rPr>
              <w:t>para</w:t>
            </w:r>
            <w:r>
              <w:rPr>
                <w:spacing w:val="-4"/>
                <w:sz w:val="18"/>
              </w:rPr>
              <w:t> </w:t>
            </w:r>
            <w:r>
              <w:rPr>
                <w:sz w:val="18"/>
              </w:rPr>
              <w:t>entidades</w:t>
            </w:r>
            <w:r>
              <w:rPr>
                <w:spacing w:val="-6"/>
                <w:sz w:val="18"/>
              </w:rPr>
              <w:t> </w:t>
            </w:r>
            <w:r>
              <w:rPr>
                <w:sz w:val="18"/>
              </w:rPr>
              <w:t>por</w:t>
            </w:r>
            <w:r>
              <w:rPr>
                <w:spacing w:val="-6"/>
                <w:sz w:val="18"/>
              </w:rPr>
              <w:t> </w:t>
            </w:r>
            <w:r>
              <w:rPr>
                <w:sz w:val="18"/>
              </w:rPr>
              <w:t>la</w:t>
            </w:r>
            <w:r>
              <w:rPr>
                <w:spacing w:val="-4"/>
                <w:sz w:val="18"/>
              </w:rPr>
              <w:t> </w:t>
            </w:r>
            <w:r>
              <w:rPr>
                <w:sz w:val="18"/>
              </w:rPr>
              <w:t>difusión</w:t>
            </w:r>
            <w:r>
              <w:rPr>
                <w:spacing w:val="-4"/>
                <w:sz w:val="18"/>
              </w:rPr>
              <w:t> </w:t>
            </w:r>
            <w:r>
              <w:rPr>
                <w:sz w:val="18"/>
              </w:rPr>
              <w:t>de</w:t>
            </w:r>
            <w:r>
              <w:rPr>
                <w:spacing w:val="-6"/>
                <w:sz w:val="18"/>
              </w:rPr>
              <w:t> </w:t>
            </w:r>
            <w:r>
              <w:rPr>
                <w:sz w:val="18"/>
              </w:rPr>
              <w:t>la </w:t>
            </w:r>
            <w:r>
              <w:rPr>
                <w:spacing w:val="-2"/>
                <w:sz w:val="18"/>
              </w:rPr>
              <w:t>cultura</w:t>
            </w:r>
          </w:p>
        </w:tc>
        <w:tc>
          <w:tcPr>
            <w:tcW w:w="123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before="102"/>
              <w:ind w:left="74"/>
              <w:rPr>
                <w:sz w:val="18"/>
              </w:rPr>
            </w:pPr>
            <w:r>
              <w:rPr>
                <w:spacing w:val="-2"/>
                <w:sz w:val="18"/>
              </w:rPr>
              <w:t>Competitiva</w:t>
            </w:r>
          </w:p>
        </w:tc>
        <w:tc>
          <w:tcPr>
            <w:tcW w:w="1442"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before="102"/>
              <w:ind w:left="17"/>
              <w:jc w:val="center"/>
              <w:rPr>
                <w:sz w:val="18"/>
              </w:rPr>
            </w:pPr>
            <w:r>
              <w:rPr>
                <w:spacing w:val="-2"/>
                <w:sz w:val="18"/>
              </w:rPr>
              <w:t>330.48000</w:t>
            </w:r>
          </w:p>
        </w:tc>
        <w:tc>
          <w:tcPr>
            <w:tcW w:w="1360" w:type="dxa"/>
            <w:tcBorders>
              <w:top w:val="single" w:sz="4" w:space="0" w:color="000000"/>
              <w:left w:val="single" w:sz="4" w:space="0" w:color="000000"/>
              <w:bottom w:val="single" w:sz="4" w:space="0" w:color="000000"/>
              <w:right w:val="single" w:sz="4" w:space="0" w:color="000000"/>
            </w:tcBorders>
            <w:shd w:val="clear" w:color="auto" w:fill="99CC00"/>
          </w:tcPr>
          <w:p>
            <w:pPr>
              <w:pStyle w:val="TableParagraph"/>
              <w:spacing w:before="102"/>
              <w:ind w:right="50"/>
              <w:jc w:val="right"/>
              <w:rPr>
                <w:sz w:val="18"/>
              </w:rPr>
            </w:pPr>
            <w:r>
              <w:rPr>
                <w:spacing w:val="4"/>
                <w:w w:val="90"/>
                <w:sz w:val="18"/>
              </w:rPr>
              <w:t>125.000,00</w:t>
            </w:r>
            <w:r>
              <w:rPr>
                <w:spacing w:val="44"/>
                <w:sz w:val="18"/>
              </w:rPr>
              <w:t> </w:t>
            </w:r>
            <w:r>
              <w:rPr>
                <w:spacing w:val="-10"/>
                <w:w w:val="90"/>
                <w:sz w:val="18"/>
              </w:rPr>
              <w:t>€</w:t>
            </w:r>
          </w:p>
        </w:tc>
        <w:tc>
          <w:tcPr>
            <w:tcW w:w="1320" w:type="dxa"/>
            <w:tcBorders>
              <w:top w:val="single" w:sz="4" w:space="0" w:color="000000"/>
              <w:left w:val="single" w:sz="4" w:space="0" w:color="000000"/>
              <w:bottom w:val="single" w:sz="4" w:space="0" w:color="000000"/>
              <w:right w:val="single" w:sz="4" w:space="0" w:color="000000"/>
            </w:tcBorders>
          </w:tcPr>
          <w:p>
            <w:pPr>
              <w:pStyle w:val="TableParagraph"/>
              <w:spacing w:before="102"/>
              <w:ind w:right="50"/>
              <w:jc w:val="right"/>
              <w:rPr>
                <w:sz w:val="18"/>
              </w:rPr>
            </w:pPr>
            <w:r>
              <w:rPr>
                <w:spacing w:val="4"/>
                <w:w w:val="90"/>
                <w:sz w:val="18"/>
              </w:rPr>
              <w:t>125.000,00</w:t>
            </w:r>
            <w:r>
              <w:rPr>
                <w:spacing w:val="44"/>
                <w:sz w:val="18"/>
              </w:rPr>
              <w:t> </w:t>
            </w:r>
            <w:r>
              <w:rPr>
                <w:spacing w:val="-10"/>
                <w:w w:val="90"/>
                <w:sz w:val="18"/>
              </w:rPr>
              <w:t>€</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1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828" w:hRule="atLeast"/>
        </w:trPr>
        <w:tc>
          <w:tcPr>
            <w:tcW w:w="1726"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74"/>
              <w:rPr>
                <w:rFonts w:ascii="Arial"/>
                <w:b/>
                <w:sz w:val="18"/>
              </w:rPr>
            </w:pPr>
            <w:r>
              <w:rPr>
                <w:rFonts w:ascii="Arial"/>
                <w:b/>
                <w:spacing w:val="-2"/>
                <w:sz w:val="18"/>
              </w:rPr>
              <w:t>Hacienda, patrimono,</w:t>
            </w:r>
          </w:p>
          <w:p>
            <w:pPr>
              <w:pStyle w:val="TableParagraph"/>
              <w:spacing w:line="206" w:lineRule="exact"/>
              <w:ind w:left="74"/>
              <w:rPr>
                <w:rFonts w:ascii="Arial" w:hAnsi="Arial"/>
                <w:b/>
                <w:sz w:val="18"/>
              </w:rPr>
            </w:pPr>
            <w:r>
              <w:rPr>
                <w:rFonts w:ascii="Arial" w:hAnsi="Arial"/>
                <w:b/>
                <w:sz w:val="18"/>
              </w:rPr>
              <w:t>castastro</w:t>
            </w:r>
            <w:r>
              <w:rPr>
                <w:rFonts w:ascii="Arial" w:hAnsi="Arial"/>
                <w:b/>
                <w:spacing w:val="-15"/>
                <w:sz w:val="18"/>
              </w:rPr>
              <w:t> </w:t>
            </w:r>
            <w:r>
              <w:rPr>
                <w:rFonts w:ascii="Arial" w:hAnsi="Arial"/>
                <w:b/>
                <w:sz w:val="18"/>
              </w:rPr>
              <w:t>y</w:t>
            </w:r>
            <w:r>
              <w:rPr>
                <w:rFonts w:ascii="Arial" w:hAnsi="Arial"/>
                <w:b/>
                <w:spacing w:val="-12"/>
                <w:sz w:val="18"/>
              </w:rPr>
              <w:t> </w:t>
            </w:r>
            <w:r>
              <w:rPr>
                <w:rFonts w:ascii="Arial" w:hAnsi="Arial"/>
                <w:b/>
                <w:sz w:val="18"/>
              </w:rPr>
              <w:t>policía </w:t>
            </w:r>
            <w:r>
              <w:rPr>
                <w:rFonts w:ascii="Arial" w:hAnsi="Arial"/>
                <w:b/>
                <w:spacing w:val="-2"/>
                <w:sz w:val="18"/>
              </w:rPr>
              <w:t>local</w:t>
            </w:r>
          </w:p>
        </w:tc>
        <w:tc>
          <w:tcPr>
            <w:tcW w:w="527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Times New Roman"/>
                <w:sz w:val="18"/>
              </w:rPr>
            </w:pPr>
          </w:p>
        </w:tc>
        <w:tc>
          <w:tcPr>
            <w:tcW w:w="123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Times New Roman"/>
                <w:sz w:val="18"/>
              </w:rPr>
            </w:pPr>
          </w:p>
        </w:tc>
        <w:tc>
          <w:tcPr>
            <w:tcW w:w="1442"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Times New Roman"/>
                <w:sz w:val="18"/>
              </w:rPr>
            </w:pPr>
          </w:p>
        </w:tc>
        <w:tc>
          <w:tcPr>
            <w:tcW w:w="136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92"/>
              <w:rPr>
                <w:rFonts w:ascii="Verdana"/>
                <w:sz w:val="18"/>
              </w:rPr>
            </w:pPr>
          </w:p>
          <w:p>
            <w:pPr>
              <w:pStyle w:val="TableParagraph"/>
              <w:ind w:right="49"/>
              <w:jc w:val="right"/>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c>
          <w:tcPr>
            <w:tcW w:w="132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92"/>
              <w:rPr>
                <w:rFonts w:ascii="Verdana"/>
                <w:sz w:val="18"/>
              </w:rPr>
            </w:pPr>
          </w:p>
          <w:p>
            <w:pPr>
              <w:pStyle w:val="TableParagraph"/>
              <w:ind w:right="49"/>
              <w:jc w:val="right"/>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c>
          <w:tcPr>
            <w:tcW w:w="659"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92"/>
              <w:rPr>
                <w:rFonts w:ascii="Verdana"/>
                <w:sz w:val="18"/>
              </w:rPr>
            </w:pPr>
          </w:p>
          <w:p>
            <w:pPr>
              <w:pStyle w:val="TableParagraph"/>
              <w:ind w:left="46"/>
              <w:jc w:val="center"/>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c>
          <w:tcPr>
            <w:tcW w:w="112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92"/>
              <w:rPr>
                <w:rFonts w:ascii="Verdana"/>
                <w:sz w:val="18"/>
              </w:rPr>
            </w:pPr>
          </w:p>
          <w:p>
            <w:pPr>
              <w:pStyle w:val="TableParagraph"/>
              <w:ind w:right="47"/>
              <w:jc w:val="right"/>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r>
      <w:tr>
        <w:trPr>
          <w:trHeight w:val="285" w:hRule="atLeast"/>
        </w:trPr>
        <w:tc>
          <w:tcPr>
            <w:tcW w:w="1726"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rPr>
                <w:rFonts w:ascii="Times New Roman"/>
                <w:sz w:val="18"/>
              </w:rPr>
            </w:pPr>
          </w:p>
        </w:tc>
        <w:tc>
          <w:tcPr>
            <w:tcW w:w="5273"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rPr>
                <w:rFonts w:ascii="Times New Roman"/>
                <w:sz w:val="18"/>
              </w:rPr>
            </w:pPr>
          </w:p>
        </w:tc>
        <w:tc>
          <w:tcPr>
            <w:tcW w:w="123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rPr>
                <w:rFonts w:ascii="Times New Roman"/>
                <w:sz w:val="18"/>
              </w:rPr>
            </w:pPr>
          </w:p>
        </w:tc>
        <w:tc>
          <w:tcPr>
            <w:tcW w:w="1442"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rPr>
                <w:rFonts w:ascii="Times New Roman"/>
                <w:sz w:val="18"/>
              </w:rPr>
            </w:pPr>
          </w:p>
        </w:tc>
        <w:tc>
          <w:tcPr>
            <w:tcW w:w="1360" w:type="dxa"/>
            <w:tcBorders>
              <w:top w:val="single" w:sz="4" w:space="0" w:color="000000"/>
              <w:left w:val="single" w:sz="4" w:space="0" w:color="000000"/>
              <w:bottom w:val="single" w:sz="4" w:space="0" w:color="000000"/>
              <w:right w:val="single" w:sz="4" w:space="0" w:color="000000"/>
            </w:tcBorders>
            <w:shd w:val="clear" w:color="auto" w:fill="99CC00"/>
          </w:tcPr>
          <w:p>
            <w:pPr>
              <w:pStyle w:val="TableParagraph"/>
              <w:rPr>
                <w:rFonts w:ascii="Times New Roman"/>
                <w:sz w:val="18"/>
              </w:rPr>
            </w:pPr>
          </w:p>
        </w:tc>
        <w:tc>
          <w:tcPr>
            <w:tcW w:w="13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6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1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1864" w:hRule="atLeast"/>
        </w:trPr>
        <w:tc>
          <w:tcPr>
            <w:tcW w:w="1726"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
              <w:ind w:left="74" w:right="84"/>
              <w:rPr>
                <w:rFonts w:ascii="Arial" w:hAnsi="Arial"/>
                <w:b/>
                <w:sz w:val="18"/>
              </w:rPr>
            </w:pPr>
            <w:r>
              <w:rPr>
                <w:rFonts w:ascii="Arial" w:hAnsi="Arial"/>
                <w:b/>
                <w:spacing w:val="-2"/>
                <w:sz w:val="18"/>
              </w:rPr>
              <w:t>Patrimonio </w:t>
            </w:r>
            <w:r>
              <w:rPr>
                <w:rFonts w:ascii="Arial" w:hAnsi="Arial"/>
                <w:b/>
                <w:sz w:val="18"/>
              </w:rPr>
              <w:t>histórico,</w:t>
            </w:r>
            <w:r>
              <w:rPr>
                <w:rFonts w:ascii="Arial" w:hAnsi="Arial"/>
                <w:b/>
                <w:spacing w:val="-13"/>
                <w:sz w:val="18"/>
              </w:rPr>
              <w:t> </w:t>
            </w:r>
            <w:r>
              <w:rPr>
                <w:rFonts w:ascii="Arial" w:hAnsi="Arial"/>
                <w:b/>
                <w:sz w:val="18"/>
              </w:rPr>
              <w:t>archivo, </w:t>
            </w:r>
            <w:r>
              <w:rPr>
                <w:rFonts w:ascii="Arial" w:hAnsi="Arial"/>
                <w:b/>
                <w:spacing w:val="-2"/>
                <w:sz w:val="18"/>
              </w:rPr>
              <w:t>biblioteca, identidad, medianías, </w:t>
            </w:r>
            <w:r>
              <w:rPr>
                <w:rFonts w:ascii="Arial" w:hAnsi="Arial"/>
                <w:b/>
                <w:sz w:val="18"/>
              </w:rPr>
              <w:t>museos, escuela de</w:t>
            </w:r>
            <w:r>
              <w:rPr>
                <w:rFonts w:ascii="Arial" w:hAnsi="Arial"/>
                <w:b/>
                <w:spacing w:val="-3"/>
                <w:sz w:val="18"/>
              </w:rPr>
              <w:t> </w:t>
            </w:r>
            <w:r>
              <w:rPr>
                <w:rFonts w:ascii="Arial" w:hAnsi="Arial"/>
                <w:b/>
                <w:sz w:val="18"/>
              </w:rPr>
              <w:t>música</w:t>
            </w:r>
            <w:r>
              <w:rPr>
                <w:rFonts w:ascii="Arial" w:hAnsi="Arial"/>
                <w:b/>
                <w:spacing w:val="-4"/>
                <w:sz w:val="18"/>
              </w:rPr>
              <w:t> </w:t>
            </w:r>
            <w:r>
              <w:rPr>
                <w:rFonts w:ascii="Arial" w:hAnsi="Arial"/>
                <w:b/>
                <w:sz w:val="18"/>
              </w:rPr>
              <w:t>e</w:t>
            </w:r>
            <w:r>
              <w:rPr>
                <w:rFonts w:ascii="Arial" w:hAnsi="Arial"/>
                <w:b/>
                <w:spacing w:val="-3"/>
                <w:sz w:val="18"/>
              </w:rPr>
              <w:t> </w:t>
            </w:r>
            <w:r>
              <w:rPr>
                <w:rFonts w:ascii="Arial" w:hAnsi="Arial"/>
                <w:b/>
                <w:sz w:val="18"/>
              </w:rPr>
              <w:t>I+D+I</w:t>
            </w:r>
          </w:p>
          <w:p>
            <w:pPr>
              <w:pStyle w:val="TableParagraph"/>
              <w:spacing w:line="206" w:lineRule="exact"/>
              <w:ind w:left="74"/>
              <w:rPr>
                <w:rFonts w:ascii="Arial" w:hAnsi="Arial"/>
                <w:b/>
                <w:sz w:val="18"/>
              </w:rPr>
            </w:pPr>
            <w:r>
              <w:rPr>
                <w:rFonts w:ascii="Arial" w:hAnsi="Arial"/>
                <w:b/>
                <w:sz w:val="18"/>
              </w:rPr>
              <w:t>+ Fundación Ciudad</w:t>
            </w:r>
            <w:r>
              <w:rPr>
                <w:rFonts w:ascii="Arial" w:hAnsi="Arial"/>
                <w:b/>
                <w:spacing w:val="-15"/>
                <w:sz w:val="18"/>
              </w:rPr>
              <w:t> </w:t>
            </w:r>
            <w:r>
              <w:rPr>
                <w:rFonts w:ascii="Arial" w:hAnsi="Arial"/>
                <w:b/>
                <w:sz w:val="18"/>
              </w:rPr>
              <w:t>de</w:t>
            </w:r>
            <w:r>
              <w:rPr>
                <w:rFonts w:ascii="Arial" w:hAnsi="Arial"/>
                <w:b/>
                <w:spacing w:val="-12"/>
                <w:sz w:val="18"/>
              </w:rPr>
              <w:t> </w:t>
            </w:r>
            <w:r>
              <w:rPr>
                <w:rFonts w:ascii="Arial" w:hAnsi="Arial"/>
                <w:b/>
                <w:sz w:val="18"/>
              </w:rPr>
              <w:t>Gáldar</w:t>
            </w:r>
          </w:p>
        </w:tc>
        <w:tc>
          <w:tcPr>
            <w:tcW w:w="527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Times New Roman"/>
                <w:sz w:val="18"/>
              </w:rPr>
            </w:pPr>
          </w:p>
        </w:tc>
        <w:tc>
          <w:tcPr>
            <w:tcW w:w="123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Times New Roman"/>
                <w:sz w:val="18"/>
              </w:rPr>
            </w:pPr>
          </w:p>
        </w:tc>
        <w:tc>
          <w:tcPr>
            <w:tcW w:w="1442"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Times New Roman"/>
                <w:sz w:val="18"/>
              </w:rPr>
            </w:pPr>
          </w:p>
        </w:tc>
        <w:tc>
          <w:tcPr>
            <w:tcW w:w="136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Verdana"/>
                <w:sz w:val="18"/>
              </w:rPr>
            </w:pPr>
          </w:p>
          <w:p>
            <w:pPr>
              <w:pStyle w:val="TableParagraph"/>
              <w:rPr>
                <w:rFonts w:ascii="Verdana"/>
                <w:sz w:val="18"/>
              </w:rPr>
            </w:pPr>
          </w:p>
          <w:p>
            <w:pPr>
              <w:pStyle w:val="TableParagraph"/>
              <w:spacing w:before="173"/>
              <w:rPr>
                <w:rFonts w:ascii="Verdana"/>
                <w:sz w:val="18"/>
              </w:rPr>
            </w:pPr>
          </w:p>
          <w:p>
            <w:pPr>
              <w:pStyle w:val="TableParagraph"/>
              <w:ind w:right="49"/>
              <w:jc w:val="right"/>
              <w:rPr>
                <w:rFonts w:ascii="Arial" w:hAnsi="Arial"/>
                <w:b/>
                <w:sz w:val="18"/>
              </w:rPr>
            </w:pPr>
            <w:r>
              <w:rPr>
                <w:rFonts w:ascii="Arial" w:hAnsi="Arial"/>
                <w:b/>
                <w:sz w:val="18"/>
              </w:rPr>
              <w:t>40.000,00</w:t>
            </w:r>
            <w:r>
              <w:rPr>
                <w:rFonts w:ascii="Arial" w:hAnsi="Arial"/>
                <w:b/>
                <w:spacing w:val="-8"/>
                <w:sz w:val="18"/>
              </w:rPr>
              <w:t> </w:t>
            </w:r>
            <w:r>
              <w:rPr>
                <w:rFonts w:ascii="Arial" w:hAnsi="Arial"/>
                <w:b/>
                <w:spacing w:val="-10"/>
                <w:sz w:val="18"/>
              </w:rPr>
              <w:t>€</w:t>
            </w:r>
          </w:p>
        </w:tc>
        <w:tc>
          <w:tcPr>
            <w:tcW w:w="132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Verdana"/>
                <w:sz w:val="18"/>
              </w:rPr>
            </w:pPr>
          </w:p>
          <w:p>
            <w:pPr>
              <w:pStyle w:val="TableParagraph"/>
              <w:rPr>
                <w:rFonts w:ascii="Verdana"/>
                <w:sz w:val="18"/>
              </w:rPr>
            </w:pPr>
          </w:p>
          <w:p>
            <w:pPr>
              <w:pStyle w:val="TableParagraph"/>
              <w:spacing w:before="173"/>
              <w:rPr>
                <w:rFonts w:ascii="Verdana"/>
                <w:sz w:val="18"/>
              </w:rPr>
            </w:pPr>
          </w:p>
          <w:p>
            <w:pPr>
              <w:pStyle w:val="TableParagraph"/>
              <w:ind w:right="49"/>
              <w:jc w:val="right"/>
              <w:rPr>
                <w:rFonts w:ascii="Arial" w:hAnsi="Arial"/>
                <w:b/>
                <w:sz w:val="18"/>
              </w:rPr>
            </w:pPr>
            <w:r>
              <w:rPr>
                <w:rFonts w:ascii="Arial" w:hAnsi="Arial"/>
                <w:b/>
                <w:sz w:val="18"/>
              </w:rPr>
              <w:t>40.000,00</w:t>
            </w:r>
            <w:r>
              <w:rPr>
                <w:rFonts w:ascii="Arial" w:hAnsi="Arial"/>
                <w:b/>
                <w:spacing w:val="-8"/>
                <w:sz w:val="18"/>
              </w:rPr>
              <w:t> </w:t>
            </w:r>
            <w:r>
              <w:rPr>
                <w:rFonts w:ascii="Arial" w:hAnsi="Arial"/>
                <w:b/>
                <w:spacing w:val="-10"/>
                <w:sz w:val="18"/>
              </w:rPr>
              <w:t>€</w:t>
            </w:r>
          </w:p>
        </w:tc>
        <w:tc>
          <w:tcPr>
            <w:tcW w:w="659"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Verdana"/>
                <w:sz w:val="18"/>
              </w:rPr>
            </w:pPr>
          </w:p>
          <w:p>
            <w:pPr>
              <w:pStyle w:val="TableParagraph"/>
              <w:rPr>
                <w:rFonts w:ascii="Verdana"/>
                <w:sz w:val="18"/>
              </w:rPr>
            </w:pPr>
          </w:p>
          <w:p>
            <w:pPr>
              <w:pStyle w:val="TableParagraph"/>
              <w:spacing w:before="173"/>
              <w:rPr>
                <w:rFonts w:ascii="Verdana"/>
                <w:sz w:val="18"/>
              </w:rPr>
            </w:pPr>
          </w:p>
          <w:p>
            <w:pPr>
              <w:pStyle w:val="TableParagraph"/>
              <w:ind w:left="46"/>
              <w:jc w:val="center"/>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c>
          <w:tcPr>
            <w:tcW w:w="112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Verdana"/>
                <w:sz w:val="18"/>
              </w:rPr>
            </w:pPr>
          </w:p>
          <w:p>
            <w:pPr>
              <w:pStyle w:val="TableParagraph"/>
              <w:rPr>
                <w:rFonts w:ascii="Verdana"/>
                <w:sz w:val="18"/>
              </w:rPr>
            </w:pPr>
          </w:p>
          <w:p>
            <w:pPr>
              <w:pStyle w:val="TableParagraph"/>
              <w:spacing w:before="173"/>
              <w:rPr>
                <w:rFonts w:ascii="Verdana"/>
                <w:sz w:val="18"/>
              </w:rPr>
            </w:pPr>
          </w:p>
          <w:p>
            <w:pPr>
              <w:pStyle w:val="TableParagraph"/>
              <w:ind w:right="47"/>
              <w:jc w:val="right"/>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r>
      <w:tr>
        <w:trPr>
          <w:trHeight w:val="285" w:hRule="atLeast"/>
        </w:trPr>
        <w:tc>
          <w:tcPr>
            <w:tcW w:w="1726"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rPr>
                <w:rFonts w:ascii="Times New Roman"/>
                <w:sz w:val="18"/>
              </w:rPr>
            </w:pPr>
          </w:p>
        </w:tc>
        <w:tc>
          <w:tcPr>
            <w:tcW w:w="5273"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before="38"/>
              <w:ind w:left="74"/>
              <w:rPr>
                <w:sz w:val="18"/>
              </w:rPr>
            </w:pPr>
            <w:r>
              <w:rPr>
                <w:sz w:val="18"/>
              </w:rPr>
              <w:t>Ayudas</w:t>
            </w:r>
            <w:r>
              <w:rPr>
                <w:spacing w:val="-2"/>
                <w:sz w:val="18"/>
              </w:rPr>
              <w:t> </w:t>
            </w:r>
            <w:r>
              <w:rPr>
                <w:sz w:val="18"/>
              </w:rPr>
              <w:t>y</w:t>
            </w:r>
            <w:r>
              <w:rPr>
                <w:spacing w:val="-3"/>
                <w:sz w:val="18"/>
              </w:rPr>
              <w:t> </w:t>
            </w:r>
            <w:r>
              <w:rPr>
                <w:sz w:val="18"/>
              </w:rPr>
              <w:t>subvenciones</w:t>
            </w:r>
            <w:r>
              <w:rPr>
                <w:spacing w:val="-1"/>
                <w:sz w:val="18"/>
              </w:rPr>
              <w:t> </w:t>
            </w:r>
            <w:r>
              <w:rPr>
                <w:sz w:val="18"/>
              </w:rPr>
              <w:t>para</w:t>
            </w:r>
            <w:r>
              <w:rPr>
                <w:spacing w:val="-3"/>
                <w:sz w:val="18"/>
              </w:rPr>
              <w:t> </w:t>
            </w:r>
            <w:r>
              <w:rPr>
                <w:sz w:val="18"/>
              </w:rPr>
              <w:t>proyectos</w:t>
            </w:r>
            <w:r>
              <w:rPr>
                <w:spacing w:val="-1"/>
                <w:sz w:val="18"/>
              </w:rPr>
              <w:t> </w:t>
            </w:r>
            <w:r>
              <w:rPr>
                <w:sz w:val="18"/>
              </w:rPr>
              <w:t>en</w:t>
            </w:r>
            <w:r>
              <w:rPr>
                <w:spacing w:val="-4"/>
                <w:sz w:val="18"/>
              </w:rPr>
              <w:t> </w:t>
            </w:r>
            <w:r>
              <w:rPr>
                <w:sz w:val="18"/>
              </w:rPr>
              <w:t>el</w:t>
            </w:r>
            <w:r>
              <w:rPr>
                <w:spacing w:val="-4"/>
                <w:sz w:val="18"/>
              </w:rPr>
              <w:t> </w:t>
            </w:r>
            <w:r>
              <w:rPr>
                <w:sz w:val="18"/>
              </w:rPr>
              <w:t>medio</w:t>
            </w:r>
            <w:r>
              <w:rPr>
                <w:spacing w:val="-2"/>
                <w:sz w:val="18"/>
              </w:rPr>
              <w:t> </w:t>
            </w:r>
            <w:r>
              <w:rPr>
                <w:spacing w:val="-4"/>
                <w:sz w:val="18"/>
              </w:rPr>
              <w:t>rural</w:t>
            </w:r>
          </w:p>
        </w:tc>
        <w:tc>
          <w:tcPr>
            <w:tcW w:w="123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before="38"/>
              <w:ind w:left="74"/>
              <w:rPr>
                <w:sz w:val="18"/>
              </w:rPr>
            </w:pPr>
            <w:r>
              <w:rPr>
                <w:spacing w:val="-2"/>
                <w:sz w:val="18"/>
              </w:rPr>
              <w:t>Competitiva</w:t>
            </w:r>
          </w:p>
        </w:tc>
        <w:tc>
          <w:tcPr>
            <w:tcW w:w="1442"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before="38"/>
              <w:ind w:left="17"/>
              <w:jc w:val="center"/>
              <w:rPr>
                <w:sz w:val="18"/>
              </w:rPr>
            </w:pPr>
            <w:r>
              <w:rPr>
                <w:spacing w:val="-2"/>
                <w:sz w:val="18"/>
              </w:rPr>
              <w:t>414.48000</w:t>
            </w:r>
          </w:p>
        </w:tc>
        <w:tc>
          <w:tcPr>
            <w:tcW w:w="1360" w:type="dxa"/>
            <w:tcBorders>
              <w:top w:val="single" w:sz="4" w:space="0" w:color="000000"/>
              <w:left w:val="single" w:sz="4" w:space="0" w:color="000000"/>
              <w:bottom w:val="single" w:sz="4" w:space="0" w:color="000000"/>
              <w:right w:val="single" w:sz="4" w:space="0" w:color="000000"/>
            </w:tcBorders>
            <w:shd w:val="clear" w:color="auto" w:fill="99CC00"/>
          </w:tcPr>
          <w:p>
            <w:pPr>
              <w:pStyle w:val="TableParagraph"/>
              <w:spacing w:before="38"/>
              <w:ind w:right="49"/>
              <w:jc w:val="right"/>
              <w:rPr>
                <w:sz w:val="18"/>
              </w:rPr>
            </w:pPr>
            <w:r>
              <w:rPr>
                <w:spacing w:val="4"/>
                <w:w w:val="90"/>
                <w:sz w:val="18"/>
              </w:rPr>
              <w:t>40.000,00</w:t>
            </w:r>
            <w:r>
              <w:rPr>
                <w:spacing w:val="38"/>
                <w:sz w:val="18"/>
              </w:rPr>
              <w:t> </w:t>
            </w:r>
            <w:r>
              <w:rPr>
                <w:spacing w:val="-10"/>
                <w:w w:val="90"/>
                <w:sz w:val="18"/>
              </w:rPr>
              <w:t>€</w:t>
            </w:r>
          </w:p>
        </w:tc>
        <w:tc>
          <w:tcPr>
            <w:tcW w:w="1320" w:type="dxa"/>
            <w:tcBorders>
              <w:top w:val="single" w:sz="4" w:space="0" w:color="000000"/>
              <w:left w:val="single" w:sz="4" w:space="0" w:color="000000"/>
              <w:bottom w:val="single" w:sz="4" w:space="0" w:color="000000"/>
              <w:right w:val="single" w:sz="4" w:space="0" w:color="000000"/>
            </w:tcBorders>
          </w:tcPr>
          <w:p>
            <w:pPr>
              <w:pStyle w:val="TableParagraph"/>
              <w:spacing w:before="38"/>
              <w:ind w:right="49"/>
              <w:jc w:val="right"/>
              <w:rPr>
                <w:sz w:val="18"/>
              </w:rPr>
            </w:pPr>
            <w:r>
              <w:rPr>
                <w:spacing w:val="4"/>
                <w:w w:val="90"/>
                <w:sz w:val="18"/>
              </w:rPr>
              <w:t>40.000,00</w:t>
            </w:r>
            <w:r>
              <w:rPr>
                <w:spacing w:val="38"/>
                <w:sz w:val="18"/>
              </w:rPr>
              <w:t> </w:t>
            </w:r>
            <w:r>
              <w:rPr>
                <w:spacing w:val="-10"/>
                <w:w w:val="90"/>
                <w:sz w:val="18"/>
              </w:rPr>
              <w:t>€</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1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621" w:hRule="atLeast"/>
        </w:trPr>
        <w:tc>
          <w:tcPr>
            <w:tcW w:w="1726"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06" w:lineRule="exact"/>
              <w:ind w:left="74" w:right="324"/>
              <w:rPr>
                <w:rFonts w:ascii="Arial"/>
                <w:b/>
                <w:sz w:val="18"/>
              </w:rPr>
            </w:pPr>
            <w:r>
              <w:rPr>
                <w:rFonts w:ascii="Arial"/>
                <w:b/>
                <w:spacing w:val="-2"/>
                <w:sz w:val="18"/>
              </w:rPr>
              <w:t>Servicios sociales, </w:t>
            </w:r>
            <w:r>
              <w:rPr>
                <w:rFonts w:ascii="Arial"/>
                <w:b/>
                <w:sz w:val="18"/>
              </w:rPr>
              <w:t>igualdad,</w:t>
            </w:r>
            <w:r>
              <w:rPr>
                <w:rFonts w:ascii="Arial"/>
                <w:b/>
                <w:spacing w:val="-13"/>
                <w:sz w:val="18"/>
              </w:rPr>
              <w:t> </w:t>
            </w:r>
            <w:r>
              <w:rPr>
                <w:rFonts w:ascii="Arial"/>
                <w:b/>
                <w:sz w:val="18"/>
              </w:rPr>
              <w:t>pisos</w:t>
            </w:r>
          </w:p>
        </w:tc>
        <w:tc>
          <w:tcPr>
            <w:tcW w:w="527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Times New Roman"/>
                <w:sz w:val="18"/>
              </w:rPr>
            </w:pPr>
          </w:p>
        </w:tc>
        <w:tc>
          <w:tcPr>
            <w:tcW w:w="123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Times New Roman"/>
                <w:sz w:val="18"/>
              </w:rPr>
            </w:pPr>
          </w:p>
        </w:tc>
        <w:tc>
          <w:tcPr>
            <w:tcW w:w="1442"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Times New Roman"/>
                <w:sz w:val="18"/>
              </w:rPr>
            </w:pPr>
          </w:p>
        </w:tc>
        <w:tc>
          <w:tcPr>
            <w:tcW w:w="136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205"/>
              <w:ind w:right="50"/>
              <w:jc w:val="right"/>
              <w:rPr>
                <w:rFonts w:ascii="Arial" w:hAnsi="Arial"/>
                <w:b/>
                <w:sz w:val="18"/>
              </w:rPr>
            </w:pPr>
            <w:r>
              <w:rPr>
                <w:rFonts w:ascii="Arial" w:hAnsi="Arial"/>
                <w:b/>
                <w:sz w:val="18"/>
              </w:rPr>
              <w:t>280.000,00</w:t>
            </w:r>
            <w:r>
              <w:rPr>
                <w:rFonts w:ascii="Arial" w:hAnsi="Arial"/>
                <w:b/>
                <w:spacing w:val="-6"/>
                <w:sz w:val="18"/>
              </w:rPr>
              <w:t> </w:t>
            </w:r>
            <w:r>
              <w:rPr>
                <w:rFonts w:ascii="Arial" w:hAnsi="Arial"/>
                <w:b/>
                <w:spacing w:val="-10"/>
                <w:sz w:val="18"/>
              </w:rPr>
              <w:t>€</w:t>
            </w:r>
          </w:p>
        </w:tc>
        <w:tc>
          <w:tcPr>
            <w:tcW w:w="132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205"/>
              <w:ind w:right="50"/>
              <w:jc w:val="right"/>
              <w:rPr>
                <w:rFonts w:ascii="Arial" w:hAnsi="Arial"/>
                <w:b/>
                <w:sz w:val="18"/>
              </w:rPr>
            </w:pPr>
            <w:r>
              <w:rPr>
                <w:rFonts w:ascii="Arial" w:hAnsi="Arial"/>
                <w:b/>
                <w:sz w:val="18"/>
              </w:rPr>
              <w:t>280.000,00</w:t>
            </w:r>
            <w:r>
              <w:rPr>
                <w:rFonts w:ascii="Arial" w:hAnsi="Arial"/>
                <w:b/>
                <w:spacing w:val="-6"/>
                <w:sz w:val="18"/>
              </w:rPr>
              <w:t> </w:t>
            </w:r>
            <w:r>
              <w:rPr>
                <w:rFonts w:ascii="Arial" w:hAnsi="Arial"/>
                <w:b/>
                <w:spacing w:val="-10"/>
                <w:sz w:val="18"/>
              </w:rPr>
              <w:t>€</w:t>
            </w:r>
          </w:p>
        </w:tc>
        <w:tc>
          <w:tcPr>
            <w:tcW w:w="659"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205"/>
              <w:ind w:left="46"/>
              <w:jc w:val="center"/>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c>
          <w:tcPr>
            <w:tcW w:w="112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205"/>
              <w:ind w:right="47"/>
              <w:jc w:val="right"/>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r>
    </w:tbl>
    <w:p>
      <w:pPr>
        <w:pStyle w:val="BodyText"/>
        <w:rPr>
          <w:sz w:val="20"/>
        </w:rPr>
      </w:pPr>
    </w:p>
    <w:p>
      <w:pPr>
        <w:pStyle w:val="BodyText"/>
        <w:spacing w:before="209"/>
        <w:rPr>
          <w:sz w:val="20"/>
        </w:rPr>
      </w:pPr>
      <w:r>
        <w:rPr/>
        <w:drawing>
          <wp:anchor distT="0" distB="0" distL="0" distR="0" allowOverlap="1" layoutInCell="1" locked="0" behindDoc="1" simplePos="0" relativeHeight="487588352">
            <wp:simplePos x="0" y="0"/>
            <wp:positionH relativeFrom="page">
              <wp:posOffset>1727030</wp:posOffset>
            </wp:positionH>
            <wp:positionV relativeFrom="paragraph">
              <wp:posOffset>302302</wp:posOffset>
            </wp:positionV>
            <wp:extent cx="4350677" cy="314325"/>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4350677" cy="314325"/>
                    </a:xfrm>
                    <a:prstGeom prst="rect">
                      <a:avLst/>
                    </a:prstGeom>
                  </pic:spPr>
                </pic:pic>
              </a:graphicData>
            </a:graphic>
          </wp:anchor>
        </w:drawing>
      </w:r>
    </w:p>
    <w:p>
      <w:pPr>
        <w:spacing w:after="0"/>
        <w:rPr>
          <w:sz w:val="20"/>
        </w:rPr>
        <w:sectPr>
          <w:headerReference w:type="default" r:id="rId9"/>
          <w:footerReference w:type="default" r:id="rId10"/>
          <w:pgSz w:w="16840" w:h="11910" w:orient="landscape"/>
          <w:pgMar w:header="638" w:footer="0" w:top="2340" w:bottom="280" w:left="1220" w:right="1220"/>
        </w:sectPr>
      </w:pPr>
    </w:p>
    <w:p>
      <w:pPr>
        <w:pStyle w:val="BodyText"/>
        <w:spacing w:before="3"/>
        <w:rPr>
          <w:sz w:val="14"/>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6"/>
        <w:gridCol w:w="5273"/>
        <w:gridCol w:w="1238"/>
        <w:gridCol w:w="1442"/>
        <w:gridCol w:w="1360"/>
        <w:gridCol w:w="1320"/>
        <w:gridCol w:w="659"/>
        <w:gridCol w:w="1120"/>
      </w:tblGrid>
      <w:tr>
        <w:trPr>
          <w:trHeight w:val="827" w:hRule="atLeast"/>
        </w:trPr>
        <w:tc>
          <w:tcPr>
            <w:tcW w:w="1726" w:type="dxa"/>
            <w:tcBorders>
              <w:top w:val="nil"/>
            </w:tcBorders>
            <w:shd w:val="clear" w:color="auto" w:fill="D9D9D9"/>
          </w:tcPr>
          <w:p>
            <w:pPr>
              <w:pStyle w:val="TableParagraph"/>
              <w:ind w:left="69"/>
              <w:rPr>
                <w:rFonts w:ascii="Arial"/>
                <w:b/>
                <w:sz w:val="18"/>
              </w:rPr>
            </w:pPr>
            <w:r>
              <w:rPr>
                <w:rFonts w:ascii="Arial"/>
                <w:b/>
                <w:sz w:val="18"/>
              </w:rPr>
              <w:t>tutelados, centro </w:t>
            </w:r>
            <w:r>
              <w:rPr>
                <w:rFonts w:ascii="Arial"/>
                <w:b/>
                <w:spacing w:val="-2"/>
                <w:sz w:val="18"/>
              </w:rPr>
              <w:t>ocupacional,</w:t>
            </w:r>
          </w:p>
          <w:p>
            <w:pPr>
              <w:pStyle w:val="TableParagraph"/>
              <w:spacing w:line="206" w:lineRule="exact"/>
              <w:ind w:left="69" w:right="109"/>
              <w:rPr>
                <w:rFonts w:ascii="Arial"/>
                <w:b/>
                <w:sz w:val="18"/>
              </w:rPr>
            </w:pPr>
            <w:r>
              <w:rPr>
                <w:rFonts w:ascii="Arial"/>
                <w:b/>
                <w:sz w:val="18"/>
              </w:rPr>
              <w:t>menores,</w:t>
            </w:r>
            <w:r>
              <w:rPr>
                <w:rFonts w:ascii="Arial"/>
                <w:b/>
                <w:spacing w:val="-13"/>
                <w:sz w:val="18"/>
              </w:rPr>
              <w:t> </w:t>
            </w:r>
            <w:r>
              <w:rPr>
                <w:rFonts w:ascii="Arial"/>
                <w:b/>
                <w:sz w:val="18"/>
              </w:rPr>
              <w:t>sanidad y solidaridad</w:t>
            </w:r>
          </w:p>
        </w:tc>
        <w:tc>
          <w:tcPr>
            <w:tcW w:w="5273" w:type="dxa"/>
            <w:tcBorders>
              <w:top w:val="nil"/>
            </w:tcBorders>
            <w:shd w:val="clear" w:color="auto" w:fill="D9D9D9"/>
          </w:tcPr>
          <w:p>
            <w:pPr>
              <w:pStyle w:val="TableParagraph"/>
              <w:rPr>
                <w:rFonts w:ascii="Times New Roman"/>
                <w:sz w:val="18"/>
              </w:rPr>
            </w:pPr>
          </w:p>
        </w:tc>
        <w:tc>
          <w:tcPr>
            <w:tcW w:w="1238" w:type="dxa"/>
            <w:tcBorders>
              <w:top w:val="nil"/>
            </w:tcBorders>
            <w:shd w:val="clear" w:color="auto" w:fill="D9D9D9"/>
          </w:tcPr>
          <w:p>
            <w:pPr>
              <w:pStyle w:val="TableParagraph"/>
              <w:rPr>
                <w:rFonts w:ascii="Times New Roman"/>
                <w:sz w:val="18"/>
              </w:rPr>
            </w:pPr>
          </w:p>
        </w:tc>
        <w:tc>
          <w:tcPr>
            <w:tcW w:w="1442" w:type="dxa"/>
            <w:tcBorders>
              <w:top w:val="nil"/>
            </w:tcBorders>
            <w:shd w:val="clear" w:color="auto" w:fill="D9D9D9"/>
          </w:tcPr>
          <w:p>
            <w:pPr>
              <w:pStyle w:val="TableParagraph"/>
              <w:rPr>
                <w:rFonts w:ascii="Times New Roman"/>
                <w:sz w:val="18"/>
              </w:rPr>
            </w:pPr>
          </w:p>
        </w:tc>
        <w:tc>
          <w:tcPr>
            <w:tcW w:w="1360" w:type="dxa"/>
            <w:tcBorders>
              <w:top w:val="nil"/>
            </w:tcBorders>
            <w:shd w:val="clear" w:color="auto" w:fill="D9D9D9"/>
          </w:tcPr>
          <w:p>
            <w:pPr>
              <w:pStyle w:val="TableParagraph"/>
              <w:rPr>
                <w:rFonts w:ascii="Times New Roman"/>
                <w:sz w:val="18"/>
              </w:rPr>
            </w:pPr>
          </w:p>
        </w:tc>
        <w:tc>
          <w:tcPr>
            <w:tcW w:w="1320" w:type="dxa"/>
            <w:tcBorders>
              <w:top w:val="nil"/>
            </w:tcBorders>
            <w:shd w:val="clear" w:color="auto" w:fill="D9D9D9"/>
          </w:tcPr>
          <w:p>
            <w:pPr>
              <w:pStyle w:val="TableParagraph"/>
              <w:rPr>
                <w:rFonts w:ascii="Times New Roman"/>
                <w:sz w:val="18"/>
              </w:rPr>
            </w:pPr>
          </w:p>
        </w:tc>
        <w:tc>
          <w:tcPr>
            <w:tcW w:w="659" w:type="dxa"/>
            <w:tcBorders>
              <w:top w:val="nil"/>
            </w:tcBorders>
            <w:shd w:val="clear" w:color="auto" w:fill="D9D9D9"/>
          </w:tcPr>
          <w:p>
            <w:pPr>
              <w:pStyle w:val="TableParagraph"/>
              <w:rPr>
                <w:rFonts w:ascii="Times New Roman"/>
                <w:sz w:val="18"/>
              </w:rPr>
            </w:pPr>
          </w:p>
        </w:tc>
        <w:tc>
          <w:tcPr>
            <w:tcW w:w="1120" w:type="dxa"/>
            <w:tcBorders>
              <w:top w:val="nil"/>
            </w:tcBorders>
            <w:shd w:val="clear" w:color="auto" w:fill="D9D9D9"/>
          </w:tcPr>
          <w:p>
            <w:pPr>
              <w:pStyle w:val="TableParagraph"/>
              <w:rPr>
                <w:rFonts w:ascii="Times New Roman"/>
                <w:sz w:val="18"/>
              </w:rPr>
            </w:pPr>
          </w:p>
        </w:tc>
      </w:tr>
      <w:tr>
        <w:trPr>
          <w:trHeight w:val="285" w:hRule="atLeast"/>
        </w:trPr>
        <w:tc>
          <w:tcPr>
            <w:tcW w:w="1726" w:type="dxa"/>
            <w:shd w:val="clear" w:color="auto" w:fill="FFFF00"/>
          </w:tcPr>
          <w:p>
            <w:pPr>
              <w:pStyle w:val="TableParagraph"/>
              <w:rPr>
                <w:rFonts w:ascii="Times New Roman"/>
                <w:sz w:val="18"/>
              </w:rPr>
            </w:pPr>
          </w:p>
        </w:tc>
        <w:tc>
          <w:tcPr>
            <w:tcW w:w="5273" w:type="dxa"/>
            <w:shd w:val="clear" w:color="auto" w:fill="FFFF00"/>
          </w:tcPr>
          <w:p>
            <w:pPr>
              <w:pStyle w:val="TableParagraph"/>
              <w:spacing w:before="39"/>
              <w:ind w:left="69"/>
              <w:rPr>
                <w:sz w:val="18"/>
              </w:rPr>
            </w:pPr>
            <w:r>
              <w:rPr>
                <w:sz w:val="18"/>
              </w:rPr>
              <w:t>Ayudas</w:t>
            </w:r>
            <w:r>
              <w:rPr>
                <w:spacing w:val="-1"/>
                <w:sz w:val="18"/>
              </w:rPr>
              <w:t> </w:t>
            </w:r>
            <w:r>
              <w:rPr>
                <w:sz w:val="18"/>
              </w:rPr>
              <w:t>a</w:t>
            </w:r>
            <w:r>
              <w:rPr>
                <w:spacing w:val="-4"/>
                <w:sz w:val="18"/>
              </w:rPr>
              <w:t> </w:t>
            </w:r>
            <w:r>
              <w:rPr>
                <w:sz w:val="18"/>
              </w:rPr>
              <w:t>la</w:t>
            </w:r>
            <w:r>
              <w:rPr>
                <w:spacing w:val="-4"/>
                <w:sz w:val="18"/>
              </w:rPr>
              <w:t> </w:t>
            </w:r>
            <w:r>
              <w:rPr>
                <w:sz w:val="18"/>
              </w:rPr>
              <w:t>ciudadanía</w:t>
            </w:r>
            <w:r>
              <w:rPr>
                <w:spacing w:val="-4"/>
                <w:sz w:val="18"/>
              </w:rPr>
              <w:t> </w:t>
            </w:r>
            <w:r>
              <w:rPr>
                <w:sz w:val="18"/>
              </w:rPr>
              <w:t>en</w:t>
            </w:r>
            <w:r>
              <w:rPr>
                <w:spacing w:val="-4"/>
                <w:sz w:val="18"/>
              </w:rPr>
              <w:t> </w:t>
            </w:r>
            <w:r>
              <w:rPr>
                <w:sz w:val="18"/>
              </w:rPr>
              <w:t>situación</w:t>
            </w:r>
            <w:r>
              <w:rPr>
                <w:spacing w:val="-2"/>
                <w:sz w:val="18"/>
              </w:rPr>
              <w:t> </w:t>
            </w:r>
            <w:r>
              <w:rPr>
                <w:sz w:val="18"/>
              </w:rPr>
              <w:t>de</w:t>
            </w:r>
            <w:r>
              <w:rPr>
                <w:spacing w:val="-4"/>
                <w:sz w:val="18"/>
              </w:rPr>
              <w:t> </w:t>
            </w:r>
            <w:r>
              <w:rPr>
                <w:sz w:val="18"/>
              </w:rPr>
              <w:t>emergencia</w:t>
            </w:r>
            <w:r>
              <w:rPr>
                <w:spacing w:val="-1"/>
                <w:sz w:val="18"/>
              </w:rPr>
              <w:t> </w:t>
            </w:r>
            <w:r>
              <w:rPr>
                <w:spacing w:val="-2"/>
                <w:sz w:val="18"/>
              </w:rPr>
              <w:t>social</w:t>
            </w:r>
          </w:p>
        </w:tc>
        <w:tc>
          <w:tcPr>
            <w:tcW w:w="1238" w:type="dxa"/>
            <w:shd w:val="clear" w:color="auto" w:fill="FFFF00"/>
          </w:tcPr>
          <w:p>
            <w:pPr>
              <w:pStyle w:val="TableParagraph"/>
              <w:spacing w:before="39"/>
              <w:ind w:left="69"/>
              <w:rPr>
                <w:sz w:val="18"/>
              </w:rPr>
            </w:pPr>
            <w:r>
              <w:rPr>
                <w:spacing w:val="-2"/>
                <w:sz w:val="18"/>
              </w:rPr>
              <w:t>Competitiva</w:t>
            </w:r>
          </w:p>
        </w:tc>
        <w:tc>
          <w:tcPr>
            <w:tcW w:w="1442" w:type="dxa"/>
            <w:shd w:val="clear" w:color="auto" w:fill="FFFF00"/>
          </w:tcPr>
          <w:p>
            <w:pPr>
              <w:pStyle w:val="TableParagraph"/>
              <w:spacing w:before="39"/>
              <w:ind w:left="17" w:right="7"/>
              <w:jc w:val="center"/>
              <w:rPr>
                <w:sz w:val="18"/>
              </w:rPr>
            </w:pPr>
            <w:r>
              <w:rPr>
                <w:spacing w:val="-2"/>
                <w:sz w:val="18"/>
              </w:rPr>
              <w:t>2312.48000</w:t>
            </w:r>
          </w:p>
        </w:tc>
        <w:tc>
          <w:tcPr>
            <w:tcW w:w="1360" w:type="dxa"/>
            <w:shd w:val="clear" w:color="auto" w:fill="99CC00"/>
          </w:tcPr>
          <w:p>
            <w:pPr>
              <w:pStyle w:val="TableParagraph"/>
              <w:spacing w:before="39"/>
              <w:ind w:right="55"/>
              <w:jc w:val="right"/>
              <w:rPr>
                <w:sz w:val="18"/>
              </w:rPr>
            </w:pPr>
            <w:r>
              <w:rPr>
                <w:spacing w:val="4"/>
                <w:w w:val="90"/>
                <w:sz w:val="18"/>
              </w:rPr>
              <w:t>250.000,00</w:t>
            </w:r>
            <w:r>
              <w:rPr>
                <w:spacing w:val="44"/>
                <w:sz w:val="18"/>
              </w:rPr>
              <w:t> </w:t>
            </w:r>
            <w:r>
              <w:rPr>
                <w:spacing w:val="-10"/>
                <w:w w:val="90"/>
                <w:sz w:val="18"/>
              </w:rPr>
              <w:t>€</w:t>
            </w:r>
          </w:p>
        </w:tc>
        <w:tc>
          <w:tcPr>
            <w:tcW w:w="1320" w:type="dxa"/>
          </w:tcPr>
          <w:p>
            <w:pPr>
              <w:pStyle w:val="TableParagraph"/>
              <w:spacing w:before="39"/>
              <w:ind w:right="55"/>
              <w:jc w:val="right"/>
              <w:rPr>
                <w:sz w:val="18"/>
              </w:rPr>
            </w:pPr>
            <w:r>
              <w:rPr>
                <w:spacing w:val="4"/>
                <w:w w:val="90"/>
                <w:sz w:val="18"/>
              </w:rPr>
              <w:t>250.000,00</w:t>
            </w:r>
            <w:r>
              <w:rPr>
                <w:spacing w:val="44"/>
                <w:sz w:val="18"/>
              </w:rPr>
              <w:t> </w:t>
            </w:r>
            <w:r>
              <w:rPr>
                <w:spacing w:val="-10"/>
                <w:w w:val="90"/>
                <w:sz w:val="18"/>
              </w:rPr>
              <w:t>€</w:t>
            </w:r>
          </w:p>
        </w:tc>
        <w:tc>
          <w:tcPr>
            <w:tcW w:w="659" w:type="dxa"/>
          </w:tcPr>
          <w:p>
            <w:pPr>
              <w:pStyle w:val="TableParagraph"/>
              <w:rPr>
                <w:rFonts w:ascii="Times New Roman"/>
                <w:sz w:val="18"/>
              </w:rPr>
            </w:pPr>
          </w:p>
        </w:tc>
        <w:tc>
          <w:tcPr>
            <w:tcW w:w="1120" w:type="dxa"/>
          </w:tcPr>
          <w:p>
            <w:pPr>
              <w:pStyle w:val="TableParagraph"/>
              <w:rPr>
                <w:rFonts w:ascii="Times New Roman"/>
                <w:sz w:val="18"/>
              </w:rPr>
            </w:pPr>
          </w:p>
        </w:tc>
      </w:tr>
      <w:tr>
        <w:trPr>
          <w:trHeight w:val="415" w:hRule="atLeast"/>
        </w:trPr>
        <w:tc>
          <w:tcPr>
            <w:tcW w:w="1726" w:type="dxa"/>
            <w:shd w:val="clear" w:color="auto" w:fill="FFFF00"/>
          </w:tcPr>
          <w:p>
            <w:pPr>
              <w:pStyle w:val="TableParagraph"/>
              <w:rPr>
                <w:rFonts w:ascii="Times New Roman"/>
                <w:sz w:val="18"/>
              </w:rPr>
            </w:pPr>
          </w:p>
        </w:tc>
        <w:tc>
          <w:tcPr>
            <w:tcW w:w="5273" w:type="dxa"/>
            <w:shd w:val="clear" w:color="auto" w:fill="FFFF00"/>
          </w:tcPr>
          <w:p>
            <w:pPr>
              <w:pStyle w:val="TableParagraph"/>
              <w:spacing w:line="210" w:lineRule="exact"/>
              <w:ind w:left="69"/>
              <w:rPr>
                <w:sz w:val="18"/>
              </w:rPr>
            </w:pPr>
            <w:r>
              <w:rPr>
                <w:sz w:val="18"/>
              </w:rPr>
              <w:t>Para</w:t>
            </w:r>
            <w:r>
              <w:rPr>
                <w:spacing w:val="-6"/>
                <w:sz w:val="18"/>
              </w:rPr>
              <w:t> </w:t>
            </w:r>
            <w:r>
              <w:rPr>
                <w:sz w:val="18"/>
              </w:rPr>
              <w:t>sufragar</w:t>
            </w:r>
            <w:r>
              <w:rPr>
                <w:spacing w:val="-6"/>
                <w:sz w:val="18"/>
              </w:rPr>
              <w:t> </w:t>
            </w:r>
            <w:r>
              <w:rPr>
                <w:sz w:val="18"/>
              </w:rPr>
              <w:t>gastos</w:t>
            </w:r>
            <w:r>
              <w:rPr>
                <w:spacing w:val="-5"/>
                <w:sz w:val="18"/>
              </w:rPr>
              <w:t> </w:t>
            </w:r>
            <w:r>
              <w:rPr>
                <w:sz w:val="18"/>
              </w:rPr>
              <w:t>de</w:t>
            </w:r>
            <w:r>
              <w:rPr>
                <w:spacing w:val="-7"/>
                <w:sz w:val="18"/>
              </w:rPr>
              <w:t> </w:t>
            </w:r>
            <w:r>
              <w:rPr>
                <w:sz w:val="18"/>
              </w:rPr>
              <w:t>explotación</w:t>
            </w:r>
            <w:r>
              <w:rPr>
                <w:spacing w:val="-6"/>
                <w:sz w:val="18"/>
              </w:rPr>
              <w:t> </w:t>
            </w:r>
            <w:r>
              <w:rPr>
                <w:sz w:val="18"/>
              </w:rPr>
              <w:t>del</w:t>
            </w:r>
            <w:r>
              <w:rPr>
                <w:spacing w:val="-6"/>
                <w:sz w:val="18"/>
              </w:rPr>
              <w:t> </w:t>
            </w:r>
            <w:r>
              <w:rPr>
                <w:sz w:val="18"/>
              </w:rPr>
              <w:t>OA</w:t>
            </w:r>
            <w:r>
              <w:rPr>
                <w:spacing w:val="-3"/>
                <w:sz w:val="18"/>
              </w:rPr>
              <w:t> </w:t>
            </w:r>
            <w:r>
              <w:rPr>
                <w:sz w:val="18"/>
              </w:rPr>
              <w:t>Instituto </w:t>
            </w:r>
            <w:r>
              <w:rPr>
                <w:spacing w:val="-2"/>
                <w:sz w:val="18"/>
              </w:rPr>
              <w:t>Toxicomanías</w:t>
            </w:r>
          </w:p>
        </w:tc>
        <w:tc>
          <w:tcPr>
            <w:tcW w:w="1238" w:type="dxa"/>
            <w:shd w:val="clear" w:color="auto" w:fill="FFFF00"/>
          </w:tcPr>
          <w:p>
            <w:pPr>
              <w:pStyle w:val="TableParagraph"/>
              <w:spacing w:before="105"/>
              <w:ind w:left="69"/>
              <w:rPr>
                <w:sz w:val="18"/>
              </w:rPr>
            </w:pPr>
            <w:r>
              <w:rPr>
                <w:spacing w:val="-2"/>
                <w:sz w:val="18"/>
              </w:rPr>
              <w:t>Nominativa</w:t>
            </w:r>
          </w:p>
        </w:tc>
        <w:tc>
          <w:tcPr>
            <w:tcW w:w="1442" w:type="dxa"/>
            <w:shd w:val="clear" w:color="auto" w:fill="FFFF00"/>
          </w:tcPr>
          <w:p>
            <w:pPr>
              <w:pStyle w:val="TableParagraph"/>
              <w:spacing w:before="105"/>
              <w:ind w:left="17" w:right="7"/>
              <w:jc w:val="center"/>
              <w:rPr>
                <w:sz w:val="18"/>
              </w:rPr>
            </w:pPr>
            <w:r>
              <w:rPr>
                <w:spacing w:val="-2"/>
                <w:sz w:val="18"/>
              </w:rPr>
              <w:t>2312.41000</w:t>
            </w:r>
          </w:p>
        </w:tc>
        <w:tc>
          <w:tcPr>
            <w:tcW w:w="1360" w:type="dxa"/>
            <w:shd w:val="clear" w:color="auto" w:fill="99CC00"/>
          </w:tcPr>
          <w:p>
            <w:pPr>
              <w:pStyle w:val="TableParagraph"/>
              <w:spacing w:before="105"/>
              <w:ind w:right="54"/>
              <w:jc w:val="right"/>
              <w:rPr>
                <w:sz w:val="18"/>
              </w:rPr>
            </w:pPr>
            <w:r>
              <w:rPr>
                <w:spacing w:val="4"/>
                <w:w w:val="90"/>
                <w:sz w:val="18"/>
              </w:rPr>
              <w:t>30.000,00</w:t>
            </w:r>
            <w:r>
              <w:rPr>
                <w:spacing w:val="38"/>
                <w:sz w:val="18"/>
              </w:rPr>
              <w:t> </w:t>
            </w:r>
            <w:r>
              <w:rPr>
                <w:spacing w:val="-10"/>
                <w:w w:val="90"/>
                <w:sz w:val="18"/>
              </w:rPr>
              <w:t>€</w:t>
            </w:r>
          </w:p>
        </w:tc>
        <w:tc>
          <w:tcPr>
            <w:tcW w:w="1320" w:type="dxa"/>
          </w:tcPr>
          <w:p>
            <w:pPr>
              <w:pStyle w:val="TableParagraph"/>
              <w:spacing w:before="105"/>
              <w:ind w:right="54"/>
              <w:jc w:val="right"/>
              <w:rPr>
                <w:sz w:val="18"/>
              </w:rPr>
            </w:pPr>
            <w:r>
              <w:rPr>
                <w:spacing w:val="4"/>
                <w:w w:val="90"/>
                <w:sz w:val="18"/>
              </w:rPr>
              <w:t>30.000,00</w:t>
            </w:r>
            <w:r>
              <w:rPr>
                <w:spacing w:val="38"/>
                <w:sz w:val="18"/>
              </w:rPr>
              <w:t> </w:t>
            </w:r>
            <w:r>
              <w:rPr>
                <w:spacing w:val="-10"/>
                <w:w w:val="90"/>
                <w:sz w:val="18"/>
              </w:rPr>
              <w:t>€</w:t>
            </w:r>
          </w:p>
        </w:tc>
        <w:tc>
          <w:tcPr>
            <w:tcW w:w="659" w:type="dxa"/>
          </w:tcPr>
          <w:p>
            <w:pPr>
              <w:pStyle w:val="TableParagraph"/>
              <w:rPr>
                <w:rFonts w:ascii="Times New Roman"/>
                <w:sz w:val="18"/>
              </w:rPr>
            </w:pPr>
          </w:p>
        </w:tc>
        <w:tc>
          <w:tcPr>
            <w:tcW w:w="1120" w:type="dxa"/>
          </w:tcPr>
          <w:p>
            <w:pPr>
              <w:pStyle w:val="TableParagraph"/>
              <w:rPr>
                <w:rFonts w:ascii="Times New Roman"/>
                <w:sz w:val="18"/>
              </w:rPr>
            </w:pPr>
          </w:p>
        </w:tc>
      </w:tr>
      <w:tr>
        <w:trPr>
          <w:trHeight w:val="1237" w:hRule="atLeast"/>
        </w:trPr>
        <w:tc>
          <w:tcPr>
            <w:tcW w:w="1726" w:type="dxa"/>
            <w:shd w:val="clear" w:color="auto" w:fill="D9D9D9"/>
          </w:tcPr>
          <w:p>
            <w:pPr>
              <w:pStyle w:val="TableParagraph"/>
              <w:ind w:left="69" w:right="84"/>
              <w:rPr>
                <w:rFonts w:ascii="Arial" w:hAnsi="Arial"/>
                <w:b/>
                <w:sz w:val="18"/>
              </w:rPr>
            </w:pPr>
            <w:r>
              <w:rPr>
                <w:rFonts w:ascii="Arial" w:hAnsi="Arial"/>
                <w:b/>
                <w:spacing w:val="-2"/>
                <w:sz w:val="18"/>
              </w:rPr>
              <w:t>Desarrollo socioeconómico, agricultura, </w:t>
            </w:r>
            <w:r>
              <w:rPr>
                <w:rFonts w:ascii="Arial" w:hAnsi="Arial"/>
                <w:b/>
                <w:sz w:val="18"/>
              </w:rPr>
              <w:t>ganadería y pesca,</w:t>
            </w:r>
            <w:r>
              <w:rPr>
                <w:rFonts w:ascii="Arial" w:hAnsi="Arial"/>
                <w:b/>
                <w:spacing w:val="-15"/>
                <w:sz w:val="18"/>
              </w:rPr>
              <w:t> </w:t>
            </w:r>
            <w:r>
              <w:rPr>
                <w:rFonts w:ascii="Arial" w:hAnsi="Arial"/>
                <w:b/>
                <w:sz w:val="18"/>
              </w:rPr>
              <w:t>comercio</w:t>
            </w:r>
            <w:r>
              <w:rPr>
                <w:rFonts w:ascii="Arial" w:hAnsi="Arial"/>
                <w:b/>
                <w:spacing w:val="-12"/>
                <w:sz w:val="18"/>
              </w:rPr>
              <w:t> </w:t>
            </w:r>
            <w:r>
              <w:rPr>
                <w:rFonts w:ascii="Arial" w:hAnsi="Arial"/>
                <w:b/>
                <w:sz w:val="18"/>
              </w:rPr>
              <w:t>y</w:t>
            </w:r>
          </w:p>
          <w:p>
            <w:pPr>
              <w:pStyle w:val="TableParagraph"/>
              <w:spacing w:line="189" w:lineRule="exact"/>
              <w:ind w:left="69"/>
              <w:rPr>
                <w:rFonts w:ascii="Arial"/>
                <w:b/>
                <w:sz w:val="18"/>
              </w:rPr>
            </w:pPr>
            <w:r>
              <w:rPr>
                <w:rFonts w:ascii="Arial"/>
                <w:b/>
                <w:spacing w:val="-2"/>
                <w:sz w:val="18"/>
              </w:rPr>
              <w:t>empleo</w:t>
            </w:r>
          </w:p>
        </w:tc>
        <w:tc>
          <w:tcPr>
            <w:tcW w:w="5273" w:type="dxa"/>
            <w:shd w:val="clear" w:color="auto" w:fill="D9D9D9"/>
          </w:tcPr>
          <w:p>
            <w:pPr>
              <w:pStyle w:val="TableParagraph"/>
              <w:rPr>
                <w:rFonts w:ascii="Times New Roman"/>
                <w:sz w:val="18"/>
              </w:rPr>
            </w:pPr>
          </w:p>
        </w:tc>
        <w:tc>
          <w:tcPr>
            <w:tcW w:w="1238" w:type="dxa"/>
            <w:shd w:val="clear" w:color="auto" w:fill="D9D9D9"/>
          </w:tcPr>
          <w:p>
            <w:pPr>
              <w:pStyle w:val="TableParagraph"/>
              <w:rPr>
                <w:rFonts w:ascii="Times New Roman"/>
                <w:sz w:val="18"/>
              </w:rPr>
            </w:pPr>
          </w:p>
        </w:tc>
        <w:tc>
          <w:tcPr>
            <w:tcW w:w="1442" w:type="dxa"/>
            <w:shd w:val="clear" w:color="auto" w:fill="D9D9D9"/>
          </w:tcPr>
          <w:p>
            <w:pPr>
              <w:pStyle w:val="TableParagraph"/>
              <w:rPr>
                <w:rFonts w:ascii="Times New Roman"/>
                <w:sz w:val="18"/>
              </w:rPr>
            </w:pPr>
          </w:p>
        </w:tc>
        <w:tc>
          <w:tcPr>
            <w:tcW w:w="1360" w:type="dxa"/>
            <w:shd w:val="clear" w:color="auto" w:fill="D9D9D9"/>
          </w:tcPr>
          <w:p>
            <w:pPr>
              <w:pStyle w:val="TableParagraph"/>
              <w:rPr>
                <w:rFonts w:ascii="Verdana"/>
                <w:sz w:val="18"/>
              </w:rPr>
            </w:pPr>
          </w:p>
          <w:p>
            <w:pPr>
              <w:pStyle w:val="TableParagraph"/>
              <w:spacing w:before="75"/>
              <w:rPr>
                <w:rFonts w:ascii="Verdana"/>
                <w:sz w:val="18"/>
              </w:rPr>
            </w:pPr>
          </w:p>
          <w:p>
            <w:pPr>
              <w:pStyle w:val="TableParagraph"/>
              <w:ind w:right="54"/>
              <w:jc w:val="right"/>
              <w:rPr>
                <w:rFonts w:ascii="Arial" w:hAnsi="Arial"/>
                <w:b/>
                <w:sz w:val="18"/>
              </w:rPr>
            </w:pPr>
            <w:r>
              <w:rPr>
                <w:rFonts w:ascii="Arial" w:hAnsi="Arial"/>
                <w:b/>
                <w:sz w:val="18"/>
              </w:rPr>
              <w:t>40.000,00</w:t>
            </w:r>
            <w:r>
              <w:rPr>
                <w:rFonts w:ascii="Arial" w:hAnsi="Arial"/>
                <w:b/>
                <w:spacing w:val="-8"/>
                <w:sz w:val="18"/>
              </w:rPr>
              <w:t> </w:t>
            </w:r>
            <w:r>
              <w:rPr>
                <w:rFonts w:ascii="Arial" w:hAnsi="Arial"/>
                <w:b/>
                <w:spacing w:val="-10"/>
                <w:sz w:val="18"/>
              </w:rPr>
              <w:t>€</w:t>
            </w:r>
          </w:p>
        </w:tc>
        <w:tc>
          <w:tcPr>
            <w:tcW w:w="1320" w:type="dxa"/>
            <w:shd w:val="clear" w:color="auto" w:fill="D9D9D9"/>
          </w:tcPr>
          <w:p>
            <w:pPr>
              <w:pStyle w:val="TableParagraph"/>
              <w:rPr>
                <w:rFonts w:ascii="Verdana"/>
                <w:sz w:val="18"/>
              </w:rPr>
            </w:pPr>
          </w:p>
          <w:p>
            <w:pPr>
              <w:pStyle w:val="TableParagraph"/>
              <w:spacing w:before="75"/>
              <w:rPr>
                <w:rFonts w:ascii="Verdana"/>
                <w:sz w:val="18"/>
              </w:rPr>
            </w:pPr>
          </w:p>
          <w:p>
            <w:pPr>
              <w:pStyle w:val="TableParagraph"/>
              <w:ind w:right="54"/>
              <w:jc w:val="right"/>
              <w:rPr>
                <w:rFonts w:ascii="Arial" w:hAnsi="Arial"/>
                <w:b/>
                <w:sz w:val="18"/>
              </w:rPr>
            </w:pPr>
            <w:r>
              <w:rPr>
                <w:rFonts w:ascii="Arial" w:hAnsi="Arial"/>
                <w:b/>
                <w:sz w:val="18"/>
              </w:rPr>
              <w:t>40.000,00</w:t>
            </w:r>
            <w:r>
              <w:rPr>
                <w:rFonts w:ascii="Arial" w:hAnsi="Arial"/>
                <w:b/>
                <w:spacing w:val="-8"/>
                <w:sz w:val="18"/>
              </w:rPr>
              <w:t> </w:t>
            </w:r>
            <w:r>
              <w:rPr>
                <w:rFonts w:ascii="Arial" w:hAnsi="Arial"/>
                <w:b/>
                <w:spacing w:val="-10"/>
                <w:sz w:val="18"/>
              </w:rPr>
              <w:t>€</w:t>
            </w:r>
          </w:p>
        </w:tc>
        <w:tc>
          <w:tcPr>
            <w:tcW w:w="659" w:type="dxa"/>
            <w:shd w:val="clear" w:color="auto" w:fill="D9D9D9"/>
          </w:tcPr>
          <w:p>
            <w:pPr>
              <w:pStyle w:val="TableParagraph"/>
              <w:rPr>
                <w:rFonts w:ascii="Verdana"/>
                <w:sz w:val="18"/>
              </w:rPr>
            </w:pPr>
          </w:p>
          <w:p>
            <w:pPr>
              <w:pStyle w:val="TableParagraph"/>
              <w:spacing w:before="75"/>
              <w:rPr>
                <w:rFonts w:ascii="Verdana"/>
                <w:sz w:val="18"/>
              </w:rPr>
            </w:pPr>
          </w:p>
          <w:p>
            <w:pPr>
              <w:pStyle w:val="TableParagraph"/>
              <w:ind w:left="46" w:right="10"/>
              <w:jc w:val="center"/>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c>
          <w:tcPr>
            <w:tcW w:w="1120" w:type="dxa"/>
            <w:shd w:val="clear" w:color="auto" w:fill="D9D9D9"/>
          </w:tcPr>
          <w:p>
            <w:pPr>
              <w:pStyle w:val="TableParagraph"/>
              <w:rPr>
                <w:rFonts w:ascii="Verdana"/>
                <w:sz w:val="18"/>
              </w:rPr>
            </w:pPr>
          </w:p>
          <w:p>
            <w:pPr>
              <w:pStyle w:val="TableParagraph"/>
              <w:spacing w:before="75"/>
              <w:rPr>
                <w:rFonts w:ascii="Verdana"/>
                <w:sz w:val="18"/>
              </w:rPr>
            </w:pPr>
          </w:p>
          <w:p>
            <w:pPr>
              <w:pStyle w:val="TableParagraph"/>
              <w:ind w:right="52"/>
              <w:jc w:val="right"/>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r>
      <w:tr>
        <w:trPr>
          <w:trHeight w:val="285" w:hRule="atLeast"/>
        </w:trPr>
        <w:tc>
          <w:tcPr>
            <w:tcW w:w="1726" w:type="dxa"/>
            <w:shd w:val="clear" w:color="auto" w:fill="FFFF00"/>
          </w:tcPr>
          <w:p>
            <w:pPr>
              <w:pStyle w:val="TableParagraph"/>
              <w:rPr>
                <w:rFonts w:ascii="Times New Roman"/>
                <w:sz w:val="18"/>
              </w:rPr>
            </w:pPr>
          </w:p>
        </w:tc>
        <w:tc>
          <w:tcPr>
            <w:tcW w:w="5273" w:type="dxa"/>
            <w:shd w:val="clear" w:color="auto" w:fill="FFFF00"/>
          </w:tcPr>
          <w:p>
            <w:pPr>
              <w:pStyle w:val="TableParagraph"/>
              <w:spacing w:before="37"/>
              <w:ind w:left="69"/>
              <w:rPr>
                <w:sz w:val="18"/>
              </w:rPr>
            </w:pPr>
            <w:r>
              <w:rPr>
                <w:sz w:val="18"/>
              </w:rPr>
              <w:t>Ayudas</w:t>
            </w:r>
            <w:r>
              <w:rPr>
                <w:spacing w:val="-3"/>
                <w:sz w:val="18"/>
              </w:rPr>
              <w:t> </w:t>
            </w:r>
            <w:r>
              <w:rPr>
                <w:sz w:val="18"/>
              </w:rPr>
              <w:t>y</w:t>
            </w:r>
            <w:r>
              <w:rPr>
                <w:spacing w:val="-3"/>
                <w:sz w:val="18"/>
              </w:rPr>
              <w:t> </w:t>
            </w:r>
            <w:r>
              <w:rPr>
                <w:sz w:val="18"/>
              </w:rPr>
              <w:t>subvenciones</w:t>
            </w:r>
            <w:r>
              <w:rPr>
                <w:spacing w:val="-2"/>
                <w:sz w:val="18"/>
              </w:rPr>
              <w:t> </w:t>
            </w:r>
            <w:r>
              <w:rPr>
                <w:sz w:val="18"/>
              </w:rPr>
              <w:t>para</w:t>
            </w:r>
            <w:r>
              <w:rPr>
                <w:spacing w:val="-3"/>
                <w:sz w:val="18"/>
              </w:rPr>
              <w:t> </w:t>
            </w:r>
            <w:r>
              <w:rPr>
                <w:sz w:val="18"/>
              </w:rPr>
              <w:t>proyectos</w:t>
            </w:r>
            <w:r>
              <w:rPr>
                <w:spacing w:val="-3"/>
                <w:sz w:val="18"/>
              </w:rPr>
              <w:t> </w:t>
            </w:r>
            <w:r>
              <w:rPr>
                <w:sz w:val="18"/>
              </w:rPr>
              <w:t>comercios</w:t>
            </w:r>
            <w:r>
              <w:rPr>
                <w:spacing w:val="-3"/>
                <w:sz w:val="18"/>
              </w:rPr>
              <w:t> </w:t>
            </w:r>
            <w:r>
              <w:rPr>
                <w:sz w:val="18"/>
              </w:rPr>
              <w:t>y</w:t>
            </w:r>
            <w:r>
              <w:rPr>
                <w:spacing w:val="-2"/>
                <w:sz w:val="18"/>
              </w:rPr>
              <w:t> </w:t>
            </w:r>
            <w:r>
              <w:rPr>
                <w:spacing w:val="-4"/>
                <w:sz w:val="18"/>
              </w:rPr>
              <w:t>Pymes</w:t>
            </w:r>
          </w:p>
        </w:tc>
        <w:tc>
          <w:tcPr>
            <w:tcW w:w="1238" w:type="dxa"/>
            <w:shd w:val="clear" w:color="auto" w:fill="FFFF00"/>
          </w:tcPr>
          <w:p>
            <w:pPr>
              <w:pStyle w:val="TableParagraph"/>
              <w:spacing w:before="37"/>
              <w:ind w:left="69"/>
              <w:rPr>
                <w:sz w:val="18"/>
              </w:rPr>
            </w:pPr>
            <w:r>
              <w:rPr>
                <w:spacing w:val="-2"/>
                <w:sz w:val="18"/>
              </w:rPr>
              <w:t>Competitiva</w:t>
            </w:r>
          </w:p>
        </w:tc>
        <w:tc>
          <w:tcPr>
            <w:tcW w:w="1442" w:type="dxa"/>
            <w:shd w:val="clear" w:color="auto" w:fill="FFFF00"/>
          </w:tcPr>
          <w:p>
            <w:pPr>
              <w:pStyle w:val="TableParagraph"/>
              <w:spacing w:before="37"/>
              <w:ind w:left="17" w:right="9"/>
              <w:jc w:val="center"/>
              <w:rPr>
                <w:sz w:val="18"/>
              </w:rPr>
            </w:pPr>
            <w:r>
              <w:rPr>
                <w:spacing w:val="-2"/>
                <w:sz w:val="18"/>
              </w:rPr>
              <w:t>430.48000</w:t>
            </w:r>
          </w:p>
        </w:tc>
        <w:tc>
          <w:tcPr>
            <w:tcW w:w="1360" w:type="dxa"/>
            <w:shd w:val="clear" w:color="auto" w:fill="99CC00"/>
          </w:tcPr>
          <w:p>
            <w:pPr>
              <w:pStyle w:val="TableParagraph"/>
              <w:spacing w:before="37"/>
              <w:ind w:right="54"/>
              <w:jc w:val="right"/>
              <w:rPr>
                <w:rFonts w:ascii="Arial" w:hAnsi="Arial"/>
                <w:b/>
                <w:sz w:val="18"/>
              </w:rPr>
            </w:pPr>
            <w:r>
              <w:rPr>
                <w:rFonts w:ascii="Arial" w:hAnsi="Arial"/>
                <w:b/>
                <w:sz w:val="18"/>
              </w:rPr>
              <w:t>40.000,00</w:t>
            </w:r>
            <w:r>
              <w:rPr>
                <w:rFonts w:ascii="Arial" w:hAnsi="Arial"/>
                <w:b/>
                <w:spacing w:val="-8"/>
                <w:sz w:val="18"/>
              </w:rPr>
              <w:t> </w:t>
            </w:r>
            <w:r>
              <w:rPr>
                <w:rFonts w:ascii="Arial" w:hAnsi="Arial"/>
                <w:b/>
                <w:spacing w:val="-10"/>
                <w:sz w:val="18"/>
              </w:rPr>
              <w:t>€</w:t>
            </w:r>
          </w:p>
        </w:tc>
        <w:tc>
          <w:tcPr>
            <w:tcW w:w="1320" w:type="dxa"/>
          </w:tcPr>
          <w:p>
            <w:pPr>
              <w:pStyle w:val="TableParagraph"/>
              <w:spacing w:before="37"/>
              <w:ind w:right="54"/>
              <w:jc w:val="right"/>
              <w:rPr>
                <w:sz w:val="18"/>
              </w:rPr>
            </w:pPr>
            <w:r>
              <w:rPr>
                <w:spacing w:val="4"/>
                <w:w w:val="90"/>
                <w:sz w:val="18"/>
              </w:rPr>
              <w:t>40.000,00</w:t>
            </w:r>
            <w:r>
              <w:rPr>
                <w:spacing w:val="38"/>
                <w:sz w:val="18"/>
              </w:rPr>
              <w:t> </w:t>
            </w:r>
            <w:r>
              <w:rPr>
                <w:spacing w:val="-10"/>
                <w:w w:val="90"/>
                <w:sz w:val="18"/>
              </w:rPr>
              <w:t>€</w:t>
            </w:r>
          </w:p>
        </w:tc>
        <w:tc>
          <w:tcPr>
            <w:tcW w:w="659" w:type="dxa"/>
          </w:tcPr>
          <w:p>
            <w:pPr>
              <w:pStyle w:val="TableParagraph"/>
              <w:rPr>
                <w:rFonts w:ascii="Times New Roman"/>
                <w:sz w:val="18"/>
              </w:rPr>
            </w:pPr>
          </w:p>
        </w:tc>
        <w:tc>
          <w:tcPr>
            <w:tcW w:w="1120" w:type="dxa"/>
          </w:tcPr>
          <w:p>
            <w:pPr>
              <w:pStyle w:val="TableParagraph"/>
              <w:rPr>
                <w:rFonts w:ascii="Times New Roman"/>
                <w:sz w:val="18"/>
              </w:rPr>
            </w:pPr>
          </w:p>
        </w:tc>
      </w:tr>
      <w:tr>
        <w:trPr>
          <w:trHeight w:val="1447" w:hRule="atLeast"/>
        </w:trPr>
        <w:tc>
          <w:tcPr>
            <w:tcW w:w="1726" w:type="dxa"/>
            <w:shd w:val="clear" w:color="auto" w:fill="D9D9D9"/>
          </w:tcPr>
          <w:p>
            <w:pPr>
              <w:pStyle w:val="TableParagraph"/>
              <w:ind w:left="69" w:right="84"/>
              <w:rPr>
                <w:rFonts w:ascii="Arial"/>
                <w:b/>
                <w:sz w:val="18"/>
              </w:rPr>
            </w:pPr>
            <w:r>
              <w:rPr>
                <w:rFonts w:ascii="Arial"/>
                <w:b/>
                <w:spacing w:val="-2"/>
                <w:sz w:val="18"/>
              </w:rPr>
              <w:t>Recursos humanos, cententerio, </w:t>
            </w:r>
            <w:r>
              <w:rPr>
                <w:rFonts w:ascii="Arial"/>
                <w:b/>
                <w:sz w:val="18"/>
              </w:rPr>
              <w:t>tanatorio y </w:t>
            </w:r>
            <w:r>
              <w:rPr>
                <w:rFonts w:ascii="Arial"/>
                <w:b/>
                <w:spacing w:val="-2"/>
                <w:sz w:val="18"/>
              </w:rPr>
              <w:t>aparcamientos </w:t>
            </w:r>
            <w:r>
              <w:rPr>
                <w:rFonts w:ascii="Arial"/>
                <w:b/>
                <w:sz w:val="18"/>
              </w:rPr>
              <w:t>municipales +</w:t>
            </w:r>
          </w:p>
          <w:p>
            <w:pPr>
              <w:pStyle w:val="TableParagraph"/>
              <w:spacing w:line="186" w:lineRule="exact"/>
              <w:ind w:left="69"/>
              <w:rPr>
                <w:rFonts w:ascii="Arial"/>
                <w:b/>
                <w:sz w:val="18"/>
              </w:rPr>
            </w:pPr>
            <w:r>
              <w:rPr>
                <w:rFonts w:ascii="Arial"/>
                <w:b/>
                <w:spacing w:val="-2"/>
                <w:sz w:val="18"/>
              </w:rPr>
              <w:t>Galobra</w:t>
            </w:r>
          </w:p>
        </w:tc>
        <w:tc>
          <w:tcPr>
            <w:tcW w:w="5273" w:type="dxa"/>
            <w:shd w:val="clear" w:color="auto" w:fill="D9D9D9"/>
          </w:tcPr>
          <w:p>
            <w:pPr>
              <w:pStyle w:val="TableParagraph"/>
              <w:rPr>
                <w:rFonts w:ascii="Times New Roman"/>
                <w:sz w:val="18"/>
              </w:rPr>
            </w:pPr>
          </w:p>
        </w:tc>
        <w:tc>
          <w:tcPr>
            <w:tcW w:w="1238" w:type="dxa"/>
            <w:shd w:val="clear" w:color="auto" w:fill="D9D9D9"/>
          </w:tcPr>
          <w:p>
            <w:pPr>
              <w:pStyle w:val="TableParagraph"/>
              <w:rPr>
                <w:rFonts w:ascii="Times New Roman"/>
                <w:sz w:val="18"/>
              </w:rPr>
            </w:pPr>
          </w:p>
        </w:tc>
        <w:tc>
          <w:tcPr>
            <w:tcW w:w="1442" w:type="dxa"/>
            <w:shd w:val="clear" w:color="auto" w:fill="D9D9D9"/>
          </w:tcPr>
          <w:p>
            <w:pPr>
              <w:pStyle w:val="TableParagraph"/>
              <w:rPr>
                <w:rFonts w:ascii="Times New Roman"/>
                <w:sz w:val="18"/>
              </w:rPr>
            </w:pPr>
          </w:p>
        </w:tc>
        <w:tc>
          <w:tcPr>
            <w:tcW w:w="1360" w:type="dxa"/>
            <w:shd w:val="clear" w:color="auto" w:fill="D9D9D9"/>
          </w:tcPr>
          <w:p>
            <w:pPr>
              <w:pStyle w:val="TableParagraph"/>
              <w:rPr>
                <w:rFonts w:ascii="Verdana"/>
                <w:sz w:val="18"/>
              </w:rPr>
            </w:pPr>
          </w:p>
          <w:p>
            <w:pPr>
              <w:pStyle w:val="TableParagraph"/>
              <w:spacing w:before="180"/>
              <w:rPr>
                <w:rFonts w:ascii="Verdana"/>
                <w:sz w:val="18"/>
              </w:rPr>
            </w:pPr>
          </w:p>
          <w:p>
            <w:pPr>
              <w:pStyle w:val="TableParagraph"/>
              <w:ind w:right="54"/>
              <w:jc w:val="right"/>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c>
          <w:tcPr>
            <w:tcW w:w="1320" w:type="dxa"/>
            <w:shd w:val="clear" w:color="auto" w:fill="D9D9D9"/>
          </w:tcPr>
          <w:p>
            <w:pPr>
              <w:pStyle w:val="TableParagraph"/>
              <w:rPr>
                <w:rFonts w:ascii="Verdana"/>
                <w:sz w:val="18"/>
              </w:rPr>
            </w:pPr>
          </w:p>
          <w:p>
            <w:pPr>
              <w:pStyle w:val="TableParagraph"/>
              <w:spacing w:before="180"/>
              <w:rPr>
                <w:rFonts w:ascii="Verdana"/>
                <w:sz w:val="18"/>
              </w:rPr>
            </w:pPr>
          </w:p>
          <w:p>
            <w:pPr>
              <w:pStyle w:val="TableParagraph"/>
              <w:ind w:right="54"/>
              <w:jc w:val="right"/>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c>
          <w:tcPr>
            <w:tcW w:w="659" w:type="dxa"/>
            <w:shd w:val="clear" w:color="auto" w:fill="D9D9D9"/>
          </w:tcPr>
          <w:p>
            <w:pPr>
              <w:pStyle w:val="TableParagraph"/>
              <w:rPr>
                <w:rFonts w:ascii="Verdana"/>
                <w:sz w:val="18"/>
              </w:rPr>
            </w:pPr>
          </w:p>
          <w:p>
            <w:pPr>
              <w:pStyle w:val="TableParagraph"/>
              <w:spacing w:before="180"/>
              <w:rPr>
                <w:rFonts w:ascii="Verdana"/>
                <w:sz w:val="18"/>
              </w:rPr>
            </w:pPr>
          </w:p>
          <w:p>
            <w:pPr>
              <w:pStyle w:val="TableParagraph"/>
              <w:ind w:left="46" w:right="10"/>
              <w:jc w:val="center"/>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c>
          <w:tcPr>
            <w:tcW w:w="1120" w:type="dxa"/>
            <w:shd w:val="clear" w:color="auto" w:fill="D9D9D9"/>
          </w:tcPr>
          <w:p>
            <w:pPr>
              <w:pStyle w:val="TableParagraph"/>
              <w:rPr>
                <w:rFonts w:ascii="Verdana"/>
                <w:sz w:val="18"/>
              </w:rPr>
            </w:pPr>
          </w:p>
          <w:p>
            <w:pPr>
              <w:pStyle w:val="TableParagraph"/>
              <w:spacing w:before="180"/>
              <w:rPr>
                <w:rFonts w:ascii="Verdana"/>
                <w:sz w:val="18"/>
              </w:rPr>
            </w:pPr>
          </w:p>
          <w:p>
            <w:pPr>
              <w:pStyle w:val="TableParagraph"/>
              <w:ind w:right="52"/>
              <w:jc w:val="right"/>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r>
      <w:tr>
        <w:trPr>
          <w:trHeight w:val="285" w:hRule="atLeast"/>
        </w:trPr>
        <w:tc>
          <w:tcPr>
            <w:tcW w:w="1726" w:type="dxa"/>
            <w:shd w:val="clear" w:color="auto" w:fill="FFFF00"/>
          </w:tcPr>
          <w:p>
            <w:pPr>
              <w:pStyle w:val="TableParagraph"/>
              <w:rPr>
                <w:rFonts w:ascii="Times New Roman"/>
                <w:sz w:val="18"/>
              </w:rPr>
            </w:pPr>
          </w:p>
        </w:tc>
        <w:tc>
          <w:tcPr>
            <w:tcW w:w="5273" w:type="dxa"/>
            <w:shd w:val="clear" w:color="auto" w:fill="FFFF00"/>
          </w:tcPr>
          <w:p>
            <w:pPr>
              <w:pStyle w:val="TableParagraph"/>
              <w:rPr>
                <w:rFonts w:ascii="Times New Roman"/>
                <w:sz w:val="18"/>
              </w:rPr>
            </w:pPr>
          </w:p>
        </w:tc>
        <w:tc>
          <w:tcPr>
            <w:tcW w:w="1238" w:type="dxa"/>
            <w:shd w:val="clear" w:color="auto" w:fill="FFFF00"/>
          </w:tcPr>
          <w:p>
            <w:pPr>
              <w:pStyle w:val="TableParagraph"/>
              <w:rPr>
                <w:rFonts w:ascii="Times New Roman"/>
                <w:sz w:val="18"/>
              </w:rPr>
            </w:pPr>
          </w:p>
        </w:tc>
        <w:tc>
          <w:tcPr>
            <w:tcW w:w="1442" w:type="dxa"/>
            <w:shd w:val="clear" w:color="auto" w:fill="FFFF00"/>
          </w:tcPr>
          <w:p>
            <w:pPr>
              <w:pStyle w:val="TableParagraph"/>
              <w:rPr>
                <w:rFonts w:ascii="Times New Roman"/>
                <w:sz w:val="18"/>
              </w:rPr>
            </w:pPr>
          </w:p>
        </w:tc>
        <w:tc>
          <w:tcPr>
            <w:tcW w:w="1360" w:type="dxa"/>
            <w:shd w:val="clear" w:color="auto" w:fill="99CC00"/>
          </w:tcPr>
          <w:p>
            <w:pPr>
              <w:pStyle w:val="TableParagraph"/>
              <w:rPr>
                <w:rFonts w:ascii="Times New Roman"/>
                <w:sz w:val="18"/>
              </w:rPr>
            </w:pPr>
          </w:p>
        </w:tc>
        <w:tc>
          <w:tcPr>
            <w:tcW w:w="1320" w:type="dxa"/>
          </w:tcPr>
          <w:p>
            <w:pPr>
              <w:pStyle w:val="TableParagraph"/>
              <w:rPr>
                <w:rFonts w:ascii="Times New Roman"/>
                <w:sz w:val="18"/>
              </w:rPr>
            </w:pPr>
          </w:p>
        </w:tc>
        <w:tc>
          <w:tcPr>
            <w:tcW w:w="659" w:type="dxa"/>
          </w:tcPr>
          <w:p>
            <w:pPr>
              <w:pStyle w:val="TableParagraph"/>
              <w:rPr>
                <w:rFonts w:ascii="Times New Roman"/>
                <w:sz w:val="18"/>
              </w:rPr>
            </w:pPr>
          </w:p>
        </w:tc>
        <w:tc>
          <w:tcPr>
            <w:tcW w:w="1120" w:type="dxa"/>
          </w:tcPr>
          <w:p>
            <w:pPr>
              <w:pStyle w:val="TableParagraph"/>
              <w:rPr>
                <w:rFonts w:ascii="Times New Roman"/>
                <w:sz w:val="18"/>
              </w:rPr>
            </w:pPr>
          </w:p>
        </w:tc>
      </w:tr>
      <w:tr>
        <w:trPr>
          <w:trHeight w:val="414" w:hRule="atLeast"/>
        </w:trPr>
        <w:tc>
          <w:tcPr>
            <w:tcW w:w="1726" w:type="dxa"/>
            <w:shd w:val="clear" w:color="auto" w:fill="D9D9D9"/>
          </w:tcPr>
          <w:p>
            <w:pPr>
              <w:pStyle w:val="TableParagraph"/>
              <w:spacing w:line="208" w:lineRule="exact"/>
              <w:ind w:left="69"/>
              <w:rPr>
                <w:rFonts w:ascii="Arial"/>
                <w:b/>
                <w:sz w:val="18"/>
              </w:rPr>
            </w:pPr>
            <w:r>
              <w:rPr>
                <w:rFonts w:ascii="Arial"/>
                <w:b/>
                <w:sz w:val="18"/>
              </w:rPr>
              <w:t>Urbanismo y </w:t>
            </w:r>
            <w:r>
              <w:rPr>
                <w:rFonts w:ascii="Arial"/>
                <w:b/>
                <w:spacing w:val="-2"/>
                <w:sz w:val="18"/>
              </w:rPr>
              <w:t>accesibilidad</w:t>
            </w:r>
          </w:p>
        </w:tc>
        <w:tc>
          <w:tcPr>
            <w:tcW w:w="5273" w:type="dxa"/>
            <w:shd w:val="clear" w:color="auto" w:fill="D9D9D9"/>
          </w:tcPr>
          <w:p>
            <w:pPr>
              <w:pStyle w:val="TableParagraph"/>
              <w:rPr>
                <w:rFonts w:ascii="Times New Roman"/>
                <w:sz w:val="18"/>
              </w:rPr>
            </w:pPr>
          </w:p>
        </w:tc>
        <w:tc>
          <w:tcPr>
            <w:tcW w:w="1238" w:type="dxa"/>
            <w:shd w:val="clear" w:color="auto" w:fill="D9D9D9"/>
          </w:tcPr>
          <w:p>
            <w:pPr>
              <w:pStyle w:val="TableParagraph"/>
              <w:rPr>
                <w:rFonts w:ascii="Times New Roman"/>
                <w:sz w:val="18"/>
              </w:rPr>
            </w:pPr>
          </w:p>
        </w:tc>
        <w:tc>
          <w:tcPr>
            <w:tcW w:w="1442" w:type="dxa"/>
            <w:shd w:val="clear" w:color="auto" w:fill="D9D9D9"/>
          </w:tcPr>
          <w:p>
            <w:pPr>
              <w:pStyle w:val="TableParagraph"/>
              <w:rPr>
                <w:rFonts w:ascii="Times New Roman"/>
                <w:sz w:val="18"/>
              </w:rPr>
            </w:pPr>
          </w:p>
        </w:tc>
        <w:tc>
          <w:tcPr>
            <w:tcW w:w="1360" w:type="dxa"/>
            <w:shd w:val="clear" w:color="auto" w:fill="D9D9D9"/>
          </w:tcPr>
          <w:p>
            <w:pPr>
              <w:pStyle w:val="TableParagraph"/>
              <w:spacing w:before="104"/>
              <w:ind w:right="54"/>
              <w:jc w:val="right"/>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c>
          <w:tcPr>
            <w:tcW w:w="1320" w:type="dxa"/>
            <w:shd w:val="clear" w:color="auto" w:fill="D9D9D9"/>
          </w:tcPr>
          <w:p>
            <w:pPr>
              <w:pStyle w:val="TableParagraph"/>
              <w:spacing w:before="104"/>
              <w:ind w:right="54"/>
              <w:jc w:val="right"/>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c>
          <w:tcPr>
            <w:tcW w:w="659" w:type="dxa"/>
            <w:shd w:val="clear" w:color="auto" w:fill="D9D9D9"/>
          </w:tcPr>
          <w:p>
            <w:pPr>
              <w:pStyle w:val="TableParagraph"/>
              <w:spacing w:before="104"/>
              <w:ind w:left="46" w:right="10"/>
              <w:jc w:val="center"/>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c>
          <w:tcPr>
            <w:tcW w:w="1120" w:type="dxa"/>
            <w:shd w:val="clear" w:color="auto" w:fill="D9D9D9"/>
          </w:tcPr>
          <w:p>
            <w:pPr>
              <w:pStyle w:val="TableParagraph"/>
              <w:spacing w:before="104"/>
              <w:ind w:right="52"/>
              <w:jc w:val="right"/>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r>
      <w:tr>
        <w:trPr>
          <w:trHeight w:val="284" w:hRule="atLeast"/>
        </w:trPr>
        <w:tc>
          <w:tcPr>
            <w:tcW w:w="1726" w:type="dxa"/>
            <w:shd w:val="clear" w:color="auto" w:fill="FFFF00"/>
          </w:tcPr>
          <w:p>
            <w:pPr>
              <w:pStyle w:val="TableParagraph"/>
              <w:rPr>
                <w:rFonts w:ascii="Times New Roman"/>
                <w:sz w:val="18"/>
              </w:rPr>
            </w:pPr>
          </w:p>
        </w:tc>
        <w:tc>
          <w:tcPr>
            <w:tcW w:w="5273" w:type="dxa"/>
            <w:shd w:val="clear" w:color="auto" w:fill="FFFF00"/>
          </w:tcPr>
          <w:p>
            <w:pPr>
              <w:pStyle w:val="TableParagraph"/>
              <w:rPr>
                <w:rFonts w:ascii="Times New Roman"/>
                <w:sz w:val="18"/>
              </w:rPr>
            </w:pPr>
          </w:p>
        </w:tc>
        <w:tc>
          <w:tcPr>
            <w:tcW w:w="1238" w:type="dxa"/>
            <w:shd w:val="clear" w:color="auto" w:fill="FFFF00"/>
          </w:tcPr>
          <w:p>
            <w:pPr>
              <w:pStyle w:val="TableParagraph"/>
              <w:rPr>
                <w:rFonts w:ascii="Times New Roman"/>
                <w:sz w:val="18"/>
              </w:rPr>
            </w:pPr>
          </w:p>
        </w:tc>
        <w:tc>
          <w:tcPr>
            <w:tcW w:w="1442" w:type="dxa"/>
            <w:shd w:val="clear" w:color="auto" w:fill="FFFF00"/>
          </w:tcPr>
          <w:p>
            <w:pPr>
              <w:pStyle w:val="TableParagraph"/>
              <w:rPr>
                <w:rFonts w:ascii="Times New Roman"/>
                <w:sz w:val="18"/>
              </w:rPr>
            </w:pPr>
          </w:p>
        </w:tc>
        <w:tc>
          <w:tcPr>
            <w:tcW w:w="1360" w:type="dxa"/>
            <w:shd w:val="clear" w:color="auto" w:fill="99CC00"/>
          </w:tcPr>
          <w:p>
            <w:pPr>
              <w:pStyle w:val="TableParagraph"/>
              <w:rPr>
                <w:rFonts w:ascii="Times New Roman"/>
                <w:sz w:val="18"/>
              </w:rPr>
            </w:pPr>
          </w:p>
        </w:tc>
        <w:tc>
          <w:tcPr>
            <w:tcW w:w="1320" w:type="dxa"/>
          </w:tcPr>
          <w:p>
            <w:pPr>
              <w:pStyle w:val="TableParagraph"/>
              <w:rPr>
                <w:rFonts w:ascii="Times New Roman"/>
                <w:sz w:val="18"/>
              </w:rPr>
            </w:pPr>
          </w:p>
        </w:tc>
        <w:tc>
          <w:tcPr>
            <w:tcW w:w="659" w:type="dxa"/>
          </w:tcPr>
          <w:p>
            <w:pPr>
              <w:pStyle w:val="TableParagraph"/>
              <w:rPr>
                <w:rFonts w:ascii="Times New Roman"/>
                <w:sz w:val="18"/>
              </w:rPr>
            </w:pPr>
          </w:p>
        </w:tc>
        <w:tc>
          <w:tcPr>
            <w:tcW w:w="1120" w:type="dxa"/>
          </w:tcPr>
          <w:p>
            <w:pPr>
              <w:pStyle w:val="TableParagraph"/>
              <w:rPr>
                <w:rFonts w:ascii="Times New Roman"/>
                <w:sz w:val="18"/>
              </w:rPr>
            </w:pPr>
          </w:p>
        </w:tc>
      </w:tr>
      <w:tr>
        <w:trPr>
          <w:trHeight w:val="827" w:hRule="atLeast"/>
        </w:trPr>
        <w:tc>
          <w:tcPr>
            <w:tcW w:w="1726" w:type="dxa"/>
            <w:shd w:val="clear" w:color="auto" w:fill="D9D9D9"/>
          </w:tcPr>
          <w:p>
            <w:pPr>
              <w:pStyle w:val="TableParagraph"/>
              <w:ind w:left="69" w:right="84"/>
              <w:rPr>
                <w:rFonts w:ascii="Arial" w:hAnsi="Arial"/>
                <w:b/>
                <w:sz w:val="18"/>
              </w:rPr>
            </w:pPr>
            <w:r>
              <w:rPr>
                <w:rFonts w:ascii="Arial" w:hAnsi="Arial"/>
                <w:b/>
                <w:spacing w:val="-2"/>
                <w:sz w:val="18"/>
              </w:rPr>
              <w:t>Educación, </w:t>
            </w:r>
            <w:r>
              <w:rPr>
                <w:rFonts w:ascii="Arial" w:hAnsi="Arial"/>
                <w:b/>
                <w:sz w:val="18"/>
              </w:rPr>
              <w:t>escuela</w:t>
            </w:r>
            <w:r>
              <w:rPr>
                <w:rFonts w:ascii="Arial" w:hAnsi="Arial"/>
                <w:b/>
                <w:spacing w:val="-15"/>
                <w:sz w:val="18"/>
              </w:rPr>
              <w:t> </w:t>
            </w:r>
            <w:r>
              <w:rPr>
                <w:rFonts w:ascii="Arial" w:hAnsi="Arial"/>
                <w:b/>
                <w:sz w:val="18"/>
              </w:rPr>
              <w:t>infantil</w:t>
            </w:r>
            <w:r>
              <w:rPr>
                <w:rFonts w:ascii="Arial" w:hAnsi="Arial"/>
                <w:b/>
                <w:spacing w:val="-12"/>
                <w:sz w:val="18"/>
              </w:rPr>
              <w:t> </w:t>
            </w:r>
            <w:r>
              <w:rPr>
                <w:rFonts w:ascii="Arial" w:hAnsi="Arial"/>
                <w:b/>
                <w:sz w:val="18"/>
              </w:rPr>
              <w:t>y </w:t>
            </w:r>
            <w:r>
              <w:rPr>
                <w:rFonts w:ascii="Arial" w:hAnsi="Arial"/>
                <w:b/>
                <w:spacing w:val="-2"/>
                <w:sz w:val="18"/>
              </w:rPr>
              <w:t>Universidad</w:t>
            </w:r>
          </w:p>
          <w:p>
            <w:pPr>
              <w:pStyle w:val="TableParagraph"/>
              <w:spacing w:line="187" w:lineRule="exact"/>
              <w:ind w:left="69"/>
              <w:rPr>
                <w:rFonts w:ascii="Arial"/>
                <w:b/>
                <w:sz w:val="18"/>
              </w:rPr>
            </w:pPr>
            <w:r>
              <w:rPr>
                <w:rFonts w:ascii="Arial"/>
                <w:b/>
                <w:spacing w:val="-2"/>
                <w:sz w:val="18"/>
              </w:rPr>
              <w:t>popular</w:t>
            </w:r>
          </w:p>
        </w:tc>
        <w:tc>
          <w:tcPr>
            <w:tcW w:w="5273" w:type="dxa"/>
            <w:shd w:val="clear" w:color="auto" w:fill="D9D9D9"/>
          </w:tcPr>
          <w:p>
            <w:pPr>
              <w:pStyle w:val="TableParagraph"/>
              <w:rPr>
                <w:rFonts w:ascii="Times New Roman"/>
                <w:sz w:val="18"/>
              </w:rPr>
            </w:pPr>
          </w:p>
        </w:tc>
        <w:tc>
          <w:tcPr>
            <w:tcW w:w="1238" w:type="dxa"/>
            <w:shd w:val="clear" w:color="auto" w:fill="D9D9D9"/>
          </w:tcPr>
          <w:p>
            <w:pPr>
              <w:pStyle w:val="TableParagraph"/>
              <w:rPr>
                <w:rFonts w:ascii="Times New Roman"/>
                <w:sz w:val="18"/>
              </w:rPr>
            </w:pPr>
          </w:p>
        </w:tc>
        <w:tc>
          <w:tcPr>
            <w:tcW w:w="1442" w:type="dxa"/>
            <w:shd w:val="clear" w:color="auto" w:fill="D9D9D9"/>
          </w:tcPr>
          <w:p>
            <w:pPr>
              <w:pStyle w:val="TableParagraph"/>
              <w:rPr>
                <w:rFonts w:ascii="Times New Roman"/>
                <w:sz w:val="18"/>
              </w:rPr>
            </w:pPr>
          </w:p>
        </w:tc>
        <w:tc>
          <w:tcPr>
            <w:tcW w:w="1360" w:type="dxa"/>
            <w:shd w:val="clear" w:color="auto" w:fill="D9D9D9"/>
          </w:tcPr>
          <w:p>
            <w:pPr>
              <w:pStyle w:val="TableParagraph"/>
              <w:spacing w:before="89"/>
              <w:rPr>
                <w:rFonts w:ascii="Verdana"/>
                <w:sz w:val="18"/>
              </w:rPr>
            </w:pPr>
          </w:p>
          <w:p>
            <w:pPr>
              <w:pStyle w:val="TableParagraph"/>
              <w:spacing w:before="1"/>
              <w:ind w:right="55"/>
              <w:jc w:val="right"/>
              <w:rPr>
                <w:rFonts w:ascii="Arial" w:hAnsi="Arial"/>
                <w:b/>
                <w:sz w:val="18"/>
              </w:rPr>
            </w:pPr>
            <w:r>
              <w:rPr>
                <w:rFonts w:ascii="Arial" w:hAnsi="Arial"/>
                <w:b/>
                <w:sz w:val="18"/>
              </w:rPr>
              <w:t>130.000,00</w:t>
            </w:r>
            <w:r>
              <w:rPr>
                <w:rFonts w:ascii="Arial" w:hAnsi="Arial"/>
                <w:b/>
                <w:spacing w:val="-6"/>
                <w:sz w:val="18"/>
              </w:rPr>
              <w:t> </w:t>
            </w:r>
            <w:r>
              <w:rPr>
                <w:rFonts w:ascii="Arial" w:hAnsi="Arial"/>
                <w:b/>
                <w:spacing w:val="-10"/>
                <w:sz w:val="18"/>
              </w:rPr>
              <w:t>€</w:t>
            </w:r>
          </w:p>
        </w:tc>
        <w:tc>
          <w:tcPr>
            <w:tcW w:w="1320" w:type="dxa"/>
            <w:shd w:val="clear" w:color="auto" w:fill="D9D9D9"/>
          </w:tcPr>
          <w:p>
            <w:pPr>
              <w:pStyle w:val="TableParagraph"/>
              <w:spacing w:before="89"/>
              <w:rPr>
                <w:rFonts w:ascii="Verdana"/>
                <w:sz w:val="18"/>
              </w:rPr>
            </w:pPr>
          </w:p>
          <w:p>
            <w:pPr>
              <w:pStyle w:val="TableParagraph"/>
              <w:spacing w:before="1"/>
              <w:ind w:right="55"/>
              <w:jc w:val="right"/>
              <w:rPr>
                <w:rFonts w:ascii="Arial" w:hAnsi="Arial"/>
                <w:b/>
                <w:sz w:val="18"/>
              </w:rPr>
            </w:pPr>
            <w:r>
              <w:rPr>
                <w:rFonts w:ascii="Arial" w:hAnsi="Arial"/>
                <w:b/>
                <w:sz w:val="18"/>
              </w:rPr>
              <w:t>130.000,00</w:t>
            </w:r>
            <w:r>
              <w:rPr>
                <w:rFonts w:ascii="Arial" w:hAnsi="Arial"/>
                <w:b/>
                <w:spacing w:val="-6"/>
                <w:sz w:val="18"/>
              </w:rPr>
              <w:t> </w:t>
            </w:r>
            <w:r>
              <w:rPr>
                <w:rFonts w:ascii="Arial" w:hAnsi="Arial"/>
                <w:b/>
                <w:spacing w:val="-10"/>
                <w:sz w:val="18"/>
              </w:rPr>
              <w:t>€</w:t>
            </w:r>
          </w:p>
        </w:tc>
        <w:tc>
          <w:tcPr>
            <w:tcW w:w="659" w:type="dxa"/>
            <w:shd w:val="clear" w:color="auto" w:fill="D9D9D9"/>
          </w:tcPr>
          <w:p>
            <w:pPr>
              <w:pStyle w:val="TableParagraph"/>
              <w:spacing w:before="89"/>
              <w:rPr>
                <w:rFonts w:ascii="Verdana"/>
                <w:sz w:val="18"/>
              </w:rPr>
            </w:pPr>
          </w:p>
          <w:p>
            <w:pPr>
              <w:pStyle w:val="TableParagraph"/>
              <w:spacing w:before="1"/>
              <w:ind w:left="46" w:right="10"/>
              <w:jc w:val="center"/>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c>
          <w:tcPr>
            <w:tcW w:w="1120" w:type="dxa"/>
            <w:shd w:val="clear" w:color="auto" w:fill="D9D9D9"/>
          </w:tcPr>
          <w:p>
            <w:pPr>
              <w:pStyle w:val="TableParagraph"/>
              <w:spacing w:before="89"/>
              <w:rPr>
                <w:rFonts w:ascii="Verdana"/>
                <w:sz w:val="18"/>
              </w:rPr>
            </w:pPr>
          </w:p>
          <w:p>
            <w:pPr>
              <w:pStyle w:val="TableParagraph"/>
              <w:spacing w:before="1"/>
              <w:ind w:right="52"/>
              <w:jc w:val="right"/>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r>
      <w:tr>
        <w:trPr>
          <w:trHeight w:val="285" w:hRule="atLeast"/>
        </w:trPr>
        <w:tc>
          <w:tcPr>
            <w:tcW w:w="1726" w:type="dxa"/>
            <w:shd w:val="clear" w:color="auto" w:fill="FFFF00"/>
          </w:tcPr>
          <w:p>
            <w:pPr>
              <w:pStyle w:val="TableParagraph"/>
              <w:rPr>
                <w:rFonts w:ascii="Times New Roman"/>
                <w:sz w:val="18"/>
              </w:rPr>
            </w:pPr>
          </w:p>
        </w:tc>
        <w:tc>
          <w:tcPr>
            <w:tcW w:w="5273" w:type="dxa"/>
            <w:shd w:val="clear" w:color="auto" w:fill="FFFF00"/>
          </w:tcPr>
          <w:p>
            <w:pPr>
              <w:pStyle w:val="TableParagraph"/>
              <w:spacing w:before="37"/>
              <w:ind w:left="69"/>
              <w:rPr>
                <w:sz w:val="18"/>
              </w:rPr>
            </w:pPr>
            <w:r>
              <w:rPr>
                <w:sz w:val="18"/>
              </w:rPr>
              <w:t>Ayudas</w:t>
            </w:r>
            <w:r>
              <w:rPr>
                <w:spacing w:val="-1"/>
                <w:sz w:val="18"/>
              </w:rPr>
              <w:t> </w:t>
            </w:r>
            <w:r>
              <w:rPr>
                <w:sz w:val="18"/>
              </w:rPr>
              <w:t>y</w:t>
            </w:r>
            <w:r>
              <w:rPr>
                <w:spacing w:val="-2"/>
                <w:sz w:val="18"/>
              </w:rPr>
              <w:t> </w:t>
            </w:r>
            <w:r>
              <w:rPr>
                <w:sz w:val="18"/>
              </w:rPr>
              <w:t>becas</w:t>
            </w:r>
            <w:r>
              <w:rPr>
                <w:spacing w:val="-3"/>
                <w:sz w:val="18"/>
              </w:rPr>
              <w:t> </w:t>
            </w:r>
            <w:r>
              <w:rPr>
                <w:sz w:val="18"/>
              </w:rPr>
              <w:t>para</w:t>
            </w:r>
            <w:r>
              <w:rPr>
                <w:spacing w:val="-1"/>
                <w:sz w:val="18"/>
              </w:rPr>
              <w:t> </w:t>
            </w:r>
            <w:r>
              <w:rPr>
                <w:sz w:val="18"/>
              </w:rPr>
              <w:t>el</w:t>
            </w:r>
            <w:r>
              <w:rPr>
                <w:spacing w:val="-3"/>
                <w:sz w:val="18"/>
              </w:rPr>
              <w:t> </w:t>
            </w:r>
            <w:r>
              <w:rPr>
                <w:spacing w:val="-2"/>
                <w:sz w:val="18"/>
              </w:rPr>
              <w:t>estudio</w:t>
            </w:r>
          </w:p>
        </w:tc>
        <w:tc>
          <w:tcPr>
            <w:tcW w:w="1238" w:type="dxa"/>
            <w:shd w:val="clear" w:color="auto" w:fill="FFFF00"/>
          </w:tcPr>
          <w:p>
            <w:pPr>
              <w:pStyle w:val="TableParagraph"/>
              <w:spacing w:before="37"/>
              <w:ind w:left="69"/>
              <w:rPr>
                <w:sz w:val="18"/>
              </w:rPr>
            </w:pPr>
            <w:r>
              <w:rPr>
                <w:spacing w:val="-2"/>
                <w:sz w:val="18"/>
              </w:rPr>
              <w:t>Competitiva</w:t>
            </w:r>
          </w:p>
        </w:tc>
        <w:tc>
          <w:tcPr>
            <w:tcW w:w="1442" w:type="dxa"/>
            <w:shd w:val="clear" w:color="auto" w:fill="FFFF00"/>
          </w:tcPr>
          <w:p>
            <w:pPr>
              <w:pStyle w:val="TableParagraph"/>
              <w:spacing w:before="37"/>
              <w:ind w:left="17" w:right="9"/>
              <w:jc w:val="center"/>
              <w:rPr>
                <w:sz w:val="18"/>
              </w:rPr>
            </w:pPr>
            <w:r>
              <w:rPr>
                <w:spacing w:val="-2"/>
                <w:sz w:val="18"/>
              </w:rPr>
              <w:t>320.48000</w:t>
            </w:r>
          </w:p>
        </w:tc>
        <w:tc>
          <w:tcPr>
            <w:tcW w:w="1360" w:type="dxa"/>
            <w:shd w:val="clear" w:color="auto" w:fill="99CC00"/>
          </w:tcPr>
          <w:p>
            <w:pPr>
              <w:pStyle w:val="TableParagraph"/>
              <w:spacing w:before="37"/>
              <w:ind w:right="54"/>
              <w:jc w:val="right"/>
              <w:rPr>
                <w:sz w:val="18"/>
              </w:rPr>
            </w:pPr>
            <w:r>
              <w:rPr>
                <w:spacing w:val="4"/>
                <w:w w:val="90"/>
                <w:sz w:val="18"/>
              </w:rPr>
              <w:t>50.000,00</w:t>
            </w:r>
            <w:r>
              <w:rPr>
                <w:spacing w:val="38"/>
                <w:sz w:val="18"/>
              </w:rPr>
              <w:t> </w:t>
            </w:r>
            <w:r>
              <w:rPr>
                <w:spacing w:val="-10"/>
                <w:w w:val="90"/>
                <w:sz w:val="18"/>
              </w:rPr>
              <w:t>€</w:t>
            </w:r>
          </w:p>
        </w:tc>
        <w:tc>
          <w:tcPr>
            <w:tcW w:w="1320" w:type="dxa"/>
          </w:tcPr>
          <w:p>
            <w:pPr>
              <w:pStyle w:val="TableParagraph"/>
              <w:spacing w:before="37"/>
              <w:ind w:right="54"/>
              <w:jc w:val="right"/>
              <w:rPr>
                <w:sz w:val="18"/>
              </w:rPr>
            </w:pPr>
            <w:r>
              <w:rPr>
                <w:spacing w:val="4"/>
                <w:w w:val="90"/>
                <w:sz w:val="18"/>
              </w:rPr>
              <w:t>50.000,00</w:t>
            </w:r>
            <w:r>
              <w:rPr>
                <w:spacing w:val="38"/>
                <w:sz w:val="18"/>
              </w:rPr>
              <w:t> </w:t>
            </w:r>
            <w:r>
              <w:rPr>
                <w:spacing w:val="-10"/>
                <w:w w:val="90"/>
                <w:sz w:val="18"/>
              </w:rPr>
              <w:t>€</w:t>
            </w:r>
          </w:p>
        </w:tc>
        <w:tc>
          <w:tcPr>
            <w:tcW w:w="659" w:type="dxa"/>
          </w:tcPr>
          <w:p>
            <w:pPr>
              <w:pStyle w:val="TableParagraph"/>
              <w:rPr>
                <w:rFonts w:ascii="Times New Roman"/>
                <w:sz w:val="18"/>
              </w:rPr>
            </w:pPr>
          </w:p>
        </w:tc>
        <w:tc>
          <w:tcPr>
            <w:tcW w:w="1120" w:type="dxa"/>
          </w:tcPr>
          <w:p>
            <w:pPr>
              <w:pStyle w:val="TableParagraph"/>
              <w:rPr>
                <w:rFonts w:ascii="Times New Roman"/>
                <w:sz w:val="18"/>
              </w:rPr>
            </w:pPr>
          </w:p>
        </w:tc>
      </w:tr>
      <w:tr>
        <w:trPr>
          <w:trHeight w:val="285" w:hRule="atLeast"/>
        </w:trPr>
        <w:tc>
          <w:tcPr>
            <w:tcW w:w="1726" w:type="dxa"/>
            <w:shd w:val="clear" w:color="auto" w:fill="FFFF00"/>
          </w:tcPr>
          <w:p>
            <w:pPr>
              <w:pStyle w:val="TableParagraph"/>
              <w:rPr>
                <w:rFonts w:ascii="Times New Roman"/>
                <w:sz w:val="18"/>
              </w:rPr>
            </w:pPr>
          </w:p>
        </w:tc>
        <w:tc>
          <w:tcPr>
            <w:tcW w:w="5273" w:type="dxa"/>
            <w:shd w:val="clear" w:color="auto" w:fill="FFFF00"/>
          </w:tcPr>
          <w:p>
            <w:pPr>
              <w:pStyle w:val="TableParagraph"/>
              <w:spacing w:before="38"/>
              <w:ind w:left="69"/>
              <w:rPr>
                <w:sz w:val="18"/>
              </w:rPr>
            </w:pPr>
            <w:r>
              <w:rPr>
                <w:sz w:val="18"/>
              </w:rPr>
              <w:t>Ayudas</w:t>
            </w:r>
            <w:r>
              <w:rPr>
                <w:spacing w:val="-3"/>
                <w:sz w:val="18"/>
              </w:rPr>
              <w:t> </w:t>
            </w:r>
            <w:r>
              <w:rPr>
                <w:sz w:val="18"/>
              </w:rPr>
              <w:t>para</w:t>
            </w:r>
            <w:r>
              <w:rPr>
                <w:spacing w:val="-3"/>
                <w:sz w:val="18"/>
              </w:rPr>
              <w:t> </w:t>
            </w:r>
            <w:r>
              <w:rPr>
                <w:sz w:val="18"/>
              </w:rPr>
              <w:t>el</w:t>
            </w:r>
            <w:r>
              <w:rPr>
                <w:spacing w:val="-3"/>
                <w:sz w:val="18"/>
              </w:rPr>
              <w:t> </w:t>
            </w:r>
            <w:r>
              <w:rPr>
                <w:sz w:val="18"/>
              </w:rPr>
              <w:t>desarrollo</w:t>
            </w:r>
            <w:r>
              <w:rPr>
                <w:spacing w:val="-5"/>
                <w:sz w:val="18"/>
              </w:rPr>
              <w:t> </w:t>
            </w:r>
            <w:r>
              <w:rPr>
                <w:sz w:val="18"/>
              </w:rPr>
              <w:t>de</w:t>
            </w:r>
            <w:r>
              <w:rPr>
                <w:spacing w:val="-4"/>
                <w:sz w:val="18"/>
              </w:rPr>
              <w:t> </w:t>
            </w:r>
            <w:r>
              <w:rPr>
                <w:sz w:val="18"/>
              </w:rPr>
              <w:t>proyectos</w:t>
            </w:r>
            <w:r>
              <w:rPr>
                <w:spacing w:val="-2"/>
                <w:sz w:val="18"/>
              </w:rPr>
              <w:t> educativos</w:t>
            </w:r>
          </w:p>
        </w:tc>
        <w:tc>
          <w:tcPr>
            <w:tcW w:w="1238" w:type="dxa"/>
            <w:shd w:val="clear" w:color="auto" w:fill="FFFF00"/>
          </w:tcPr>
          <w:p>
            <w:pPr>
              <w:pStyle w:val="TableParagraph"/>
              <w:spacing w:before="38"/>
              <w:ind w:left="69"/>
              <w:rPr>
                <w:sz w:val="18"/>
              </w:rPr>
            </w:pPr>
            <w:r>
              <w:rPr>
                <w:spacing w:val="-2"/>
                <w:sz w:val="18"/>
              </w:rPr>
              <w:t>Competitiva</w:t>
            </w:r>
          </w:p>
        </w:tc>
        <w:tc>
          <w:tcPr>
            <w:tcW w:w="1442" w:type="dxa"/>
            <w:shd w:val="clear" w:color="auto" w:fill="FFFF00"/>
          </w:tcPr>
          <w:p>
            <w:pPr>
              <w:pStyle w:val="TableParagraph"/>
              <w:spacing w:before="38"/>
              <w:ind w:left="17" w:right="9"/>
              <w:jc w:val="center"/>
              <w:rPr>
                <w:sz w:val="18"/>
              </w:rPr>
            </w:pPr>
            <w:r>
              <w:rPr>
                <w:spacing w:val="-2"/>
                <w:sz w:val="18"/>
              </w:rPr>
              <w:t>320.48000</w:t>
            </w:r>
          </w:p>
        </w:tc>
        <w:tc>
          <w:tcPr>
            <w:tcW w:w="1360" w:type="dxa"/>
            <w:shd w:val="clear" w:color="auto" w:fill="99CC00"/>
          </w:tcPr>
          <w:p>
            <w:pPr>
              <w:pStyle w:val="TableParagraph"/>
              <w:spacing w:before="38"/>
              <w:ind w:right="55"/>
              <w:jc w:val="right"/>
              <w:rPr>
                <w:sz w:val="18"/>
              </w:rPr>
            </w:pPr>
            <w:r>
              <w:rPr>
                <w:spacing w:val="4"/>
                <w:w w:val="90"/>
                <w:sz w:val="18"/>
              </w:rPr>
              <w:t>20.000,00</w:t>
            </w:r>
            <w:r>
              <w:rPr>
                <w:spacing w:val="37"/>
                <w:sz w:val="18"/>
              </w:rPr>
              <w:t> </w:t>
            </w:r>
            <w:r>
              <w:rPr>
                <w:spacing w:val="-10"/>
                <w:w w:val="90"/>
                <w:sz w:val="18"/>
              </w:rPr>
              <w:t>€</w:t>
            </w:r>
          </w:p>
        </w:tc>
        <w:tc>
          <w:tcPr>
            <w:tcW w:w="1320" w:type="dxa"/>
          </w:tcPr>
          <w:p>
            <w:pPr>
              <w:pStyle w:val="TableParagraph"/>
              <w:spacing w:before="38"/>
              <w:ind w:right="54"/>
              <w:jc w:val="right"/>
              <w:rPr>
                <w:sz w:val="18"/>
              </w:rPr>
            </w:pPr>
            <w:r>
              <w:rPr>
                <w:spacing w:val="4"/>
                <w:w w:val="90"/>
                <w:sz w:val="18"/>
              </w:rPr>
              <w:t>20.000,00</w:t>
            </w:r>
            <w:r>
              <w:rPr>
                <w:spacing w:val="38"/>
                <w:sz w:val="18"/>
              </w:rPr>
              <w:t> </w:t>
            </w:r>
            <w:r>
              <w:rPr>
                <w:spacing w:val="-10"/>
                <w:w w:val="90"/>
                <w:sz w:val="18"/>
              </w:rPr>
              <w:t>€</w:t>
            </w:r>
          </w:p>
        </w:tc>
        <w:tc>
          <w:tcPr>
            <w:tcW w:w="659" w:type="dxa"/>
          </w:tcPr>
          <w:p>
            <w:pPr>
              <w:pStyle w:val="TableParagraph"/>
              <w:rPr>
                <w:rFonts w:ascii="Times New Roman"/>
                <w:sz w:val="18"/>
              </w:rPr>
            </w:pPr>
          </w:p>
        </w:tc>
        <w:tc>
          <w:tcPr>
            <w:tcW w:w="1120" w:type="dxa"/>
          </w:tcPr>
          <w:p>
            <w:pPr>
              <w:pStyle w:val="TableParagraph"/>
              <w:rPr>
                <w:rFonts w:ascii="Times New Roman"/>
                <w:sz w:val="18"/>
              </w:rPr>
            </w:pPr>
          </w:p>
        </w:tc>
      </w:tr>
      <w:tr>
        <w:trPr>
          <w:trHeight w:val="285" w:hRule="atLeast"/>
        </w:trPr>
        <w:tc>
          <w:tcPr>
            <w:tcW w:w="1726" w:type="dxa"/>
            <w:shd w:val="clear" w:color="auto" w:fill="FFFF00"/>
          </w:tcPr>
          <w:p>
            <w:pPr>
              <w:pStyle w:val="TableParagraph"/>
              <w:rPr>
                <w:rFonts w:ascii="Times New Roman"/>
                <w:sz w:val="18"/>
              </w:rPr>
            </w:pPr>
          </w:p>
        </w:tc>
        <w:tc>
          <w:tcPr>
            <w:tcW w:w="5273" w:type="dxa"/>
            <w:shd w:val="clear" w:color="auto" w:fill="FFFF00"/>
          </w:tcPr>
          <w:p>
            <w:pPr>
              <w:pStyle w:val="TableParagraph"/>
              <w:spacing w:before="37"/>
              <w:ind w:left="69"/>
              <w:rPr>
                <w:sz w:val="18"/>
              </w:rPr>
            </w:pPr>
            <w:r>
              <w:rPr>
                <w:sz w:val="18"/>
              </w:rPr>
              <w:t>Ayudas</w:t>
            </w:r>
            <w:r>
              <w:rPr>
                <w:spacing w:val="-1"/>
                <w:sz w:val="18"/>
              </w:rPr>
              <w:t> </w:t>
            </w:r>
            <w:r>
              <w:rPr>
                <w:sz w:val="18"/>
              </w:rPr>
              <w:t>a</w:t>
            </w:r>
            <w:r>
              <w:rPr>
                <w:spacing w:val="-4"/>
                <w:sz w:val="18"/>
              </w:rPr>
              <w:t> </w:t>
            </w:r>
            <w:r>
              <w:rPr>
                <w:sz w:val="18"/>
              </w:rPr>
              <w:t>las</w:t>
            </w:r>
            <w:r>
              <w:rPr>
                <w:spacing w:val="-1"/>
                <w:sz w:val="18"/>
              </w:rPr>
              <w:t> </w:t>
            </w:r>
            <w:r>
              <w:rPr>
                <w:sz w:val="18"/>
              </w:rPr>
              <w:t>AMPAS</w:t>
            </w:r>
            <w:r>
              <w:rPr>
                <w:spacing w:val="-5"/>
                <w:sz w:val="18"/>
              </w:rPr>
              <w:t> </w:t>
            </w:r>
            <w:r>
              <w:rPr>
                <w:sz w:val="18"/>
              </w:rPr>
              <w:t>del</w:t>
            </w:r>
            <w:r>
              <w:rPr>
                <w:spacing w:val="-4"/>
                <w:sz w:val="18"/>
              </w:rPr>
              <w:t> </w:t>
            </w:r>
            <w:r>
              <w:rPr>
                <w:sz w:val="18"/>
              </w:rPr>
              <w:t>municipio</w:t>
            </w:r>
            <w:r>
              <w:rPr>
                <w:spacing w:val="-2"/>
                <w:sz w:val="18"/>
              </w:rPr>
              <w:t> </w:t>
            </w:r>
            <w:r>
              <w:rPr>
                <w:sz w:val="18"/>
              </w:rPr>
              <w:t>para</w:t>
            </w:r>
            <w:r>
              <w:rPr>
                <w:spacing w:val="-2"/>
                <w:sz w:val="18"/>
              </w:rPr>
              <w:t> </w:t>
            </w:r>
            <w:r>
              <w:rPr>
                <w:sz w:val="18"/>
              </w:rPr>
              <w:t>actividad</w:t>
            </w:r>
            <w:r>
              <w:rPr>
                <w:spacing w:val="-1"/>
                <w:sz w:val="18"/>
              </w:rPr>
              <w:t> </w:t>
            </w:r>
            <w:r>
              <w:rPr>
                <w:spacing w:val="-2"/>
                <w:sz w:val="18"/>
              </w:rPr>
              <w:t>extraescolar</w:t>
            </w:r>
          </w:p>
        </w:tc>
        <w:tc>
          <w:tcPr>
            <w:tcW w:w="1238" w:type="dxa"/>
            <w:shd w:val="clear" w:color="auto" w:fill="FFFF00"/>
          </w:tcPr>
          <w:p>
            <w:pPr>
              <w:pStyle w:val="TableParagraph"/>
              <w:spacing w:before="37"/>
              <w:ind w:left="69"/>
              <w:rPr>
                <w:sz w:val="18"/>
              </w:rPr>
            </w:pPr>
            <w:r>
              <w:rPr>
                <w:spacing w:val="-2"/>
                <w:sz w:val="18"/>
              </w:rPr>
              <w:t>Competitiva</w:t>
            </w:r>
          </w:p>
        </w:tc>
        <w:tc>
          <w:tcPr>
            <w:tcW w:w="1442" w:type="dxa"/>
            <w:shd w:val="clear" w:color="auto" w:fill="FFFF00"/>
          </w:tcPr>
          <w:p>
            <w:pPr>
              <w:pStyle w:val="TableParagraph"/>
              <w:spacing w:before="37"/>
              <w:ind w:left="17" w:right="9"/>
              <w:jc w:val="center"/>
              <w:rPr>
                <w:sz w:val="18"/>
              </w:rPr>
            </w:pPr>
            <w:r>
              <w:rPr>
                <w:spacing w:val="-2"/>
                <w:sz w:val="18"/>
              </w:rPr>
              <w:t>320.48000</w:t>
            </w:r>
          </w:p>
        </w:tc>
        <w:tc>
          <w:tcPr>
            <w:tcW w:w="1360" w:type="dxa"/>
            <w:shd w:val="clear" w:color="auto" w:fill="99CC00"/>
          </w:tcPr>
          <w:p>
            <w:pPr>
              <w:pStyle w:val="TableParagraph"/>
              <w:spacing w:before="37"/>
              <w:ind w:right="54"/>
              <w:jc w:val="right"/>
              <w:rPr>
                <w:sz w:val="18"/>
              </w:rPr>
            </w:pPr>
            <w:r>
              <w:rPr>
                <w:spacing w:val="4"/>
                <w:w w:val="90"/>
                <w:sz w:val="18"/>
              </w:rPr>
              <w:t>30.000,00</w:t>
            </w:r>
            <w:r>
              <w:rPr>
                <w:spacing w:val="38"/>
                <w:sz w:val="18"/>
              </w:rPr>
              <w:t> </w:t>
            </w:r>
            <w:r>
              <w:rPr>
                <w:spacing w:val="-10"/>
                <w:w w:val="90"/>
                <w:sz w:val="18"/>
              </w:rPr>
              <w:t>€</w:t>
            </w:r>
          </w:p>
        </w:tc>
        <w:tc>
          <w:tcPr>
            <w:tcW w:w="1320" w:type="dxa"/>
          </w:tcPr>
          <w:p>
            <w:pPr>
              <w:pStyle w:val="TableParagraph"/>
              <w:spacing w:before="37"/>
              <w:ind w:right="54"/>
              <w:jc w:val="right"/>
              <w:rPr>
                <w:sz w:val="18"/>
              </w:rPr>
            </w:pPr>
            <w:r>
              <w:rPr>
                <w:spacing w:val="4"/>
                <w:w w:val="90"/>
                <w:sz w:val="18"/>
              </w:rPr>
              <w:t>30.000,00</w:t>
            </w:r>
            <w:r>
              <w:rPr>
                <w:spacing w:val="38"/>
                <w:sz w:val="18"/>
              </w:rPr>
              <w:t> </w:t>
            </w:r>
            <w:r>
              <w:rPr>
                <w:spacing w:val="-10"/>
                <w:w w:val="90"/>
                <w:sz w:val="18"/>
              </w:rPr>
              <w:t>€</w:t>
            </w:r>
          </w:p>
        </w:tc>
        <w:tc>
          <w:tcPr>
            <w:tcW w:w="659" w:type="dxa"/>
          </w:tcPr>
          <w:p>
            <w:pPr>
              <w:pStyle w:val="TableParagraph"/>
              <w:rPr>
                <w:rFonts w:ascii="Times New Roman"/>
                <w:sz w:val="18"/>
              </w:rPr>
            </w:pPr>
          </w:p>
        </w:tc>
        <w:tc>
          <w:tcPr>
            <w:tcW w:w="1120" w:type="dxa"/>
          </w:tcPr>
          <w:p>
            <w:pPr>
              <w:pStyle w:val="TableParagraph"/>
              <w:rPr>
                <w:rFonts w:ascii="Times New Roman"/>
                <w:sz w:val="18"/>
              </w:rPr>
            </w:pPr>
          </w:p>
        </w:tc>
      </w:tr>
    </w:tbl>
    <w:p>
      <w:pPr>
        <w:spacing w:after="0"/>
        <w:rPr>
          <w:rFonts w:ascii="Times New Roman"/>
          <w:sz w:val="18"/>
        </w:rPr>
        <w:sectPr>
          <w:headerReference w:type="default" r:id="rId11"/>
          <w:footerReference w:type="default" r:id="rId12"/>
          <w:pgSz w:w="16840" w:h="11910" w:orient="landscape"/>
          <w:pgMar w:header="638" w:footer="825" w:top="2340" w:bottom="1020" w:left="1220" w:right="1220"/>
        </w:sectPr>
      </w:pPr>
    </w:p>
    <w:p>
      <w:pPr>
        <w:pStyle w:val="BodyText"/>
        <w:spacing w:before="3"/>
        <w:rPr>
          <w:sz w:val="14"/>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6"/>
        <w:gridCol w:w="5273"/>
        <w:gridCol w:w="1238"/>
        <w:gridCol w:w="1442"/>
        <w:gridCol w:w="1360"/>
        <w:gridCol w:w="1320"/>
        <w:gridCol w:w="659"/>
        <w:gridCol w:w="1120"/>
      </w:tblGrid>
      <w:tr>
        <w:trPr>
          <w:trHeight w:val="479" w:hRule="atLeast"/>
        </w:trPr>
        <w:tc>
          <w:tcPr>
            <w:tcW w:w="1726" w:type="dxa"/>
            <w:tcBorders>
              <w:top w:val="nil"/>
            </w:tcBorders>
            <w:shd w:val="clear" w:color="auto" w:fill="FFFF00"/>
          </w:tcPr>
          <w:p>
            <w:pPr>
              <w:pStyle w:val="TableParagraph"/>
              <w:rPr>
                <w:rFonts w:ascii="Times New Roman"/>
                <w:sz w:val="18"/>
              </w:rPr>
            </w:pPr>
          </w:p>
        </w:tc>
        <w:tc>
          <w:tcPr>
            <w:tcW w:w="5273" w:type="dxa"/>
            <w:tcBorders>
              <w:top w:val="nil"/>
            </w:tcBorders>
            <w:shd w:val="clear" w:color="auto" w:fill="FFFF00"/>
          </w:tcPr>
          <w:p>
            <w:pPr>
              <w:pStyle w:val="TableParagraph"/>
              <w:spacing w:before="32"/>
              <w:ind w:left="69"/>
              <w:rPr>
                <w:sz w:val="18"/>
              </w:rPr>
            </w:pPr>
            <w:r>
              <w:rPr>
                <w:sz w:val="18"/>
              </w:rPr>
              <w:t>Subvención</w:t>
            </w:r>
            <w:r>
              <w:rPr>
                <w:spacing w:val="-4"/>
                <w:sz w:val="18"/>
              </w:rPr>
              <w:t> </w:t>
            </w:r>
            <w:r>
              <w:rPr>
                <w:sz w:val="18"/>
              </w:rPr>
              <w:t>para</w:t>
            </w:r>
            <w:r>
              <w:rPr>
                <w:spacing w:val="-4"/>
                <w:sz w:val="18"/>
              </w:rPr>
              <w:t> </w:t>
            </w:r>
            <w:r>
              <w:rPr>
                <w:sz w:val="18"/>
              </w:rPr>
              <w:t>reducir</w:t>
            </w:r>
            <w:r>
              <w:rPr>
                <w:spacing w:val="-4"/>
                <w:sz w:val="18"/>
              </w:rPr>
              <w:t> </w:t>
            </w:r>
            <w:r>
              <w:rPr>
                <w:sz w:val="18"/>
              </w:rPr>
              <w:t>el</w:t>
            </w:r>
            <w:r>
              <w:rPr>
                <w:spacing w:val="-4"/>
                <w:sz w:val="18"/>
              </w:rPr>
              <w:t> </w:t>
            </w:r>
            <w:r>
              <w:rPr>
                <w:sz w:val="18"/>
              </w:rPr>
              <w:t>precio</w:t>
            </w:r>
            <w:r>
              <w:rPr>
                <w:spacing w:val="-6"/>
                <w:sz w:val="18"/>
              </w:rPr>
              <w:t> </w:t>
            </w:r>
            <w:r>
              <w:rPr>
                <w:sz w:val="18"/>
              </w:rPr>
              <w:t>a</w:t>
            </w:r>
            <w:r>
              <w:rPr>
                <w:spacing w:val="-4"/>
                <w:sz w:val="18"/>
              </w:rPr>
              <w:t> </w:t>
            </w:r>
            <w:r>
              <w:rPr>
                <w:sz w:val="18"/>
              </w:rPr>
              <w:t>pagar</w:t>
            </w:r>
            <w:r>
              <w:rPr>
                <w:spacing w:val="-4"/>
                <w:sz w:val="18"/>
              </w:rPr>
              <w:t> </w:t>
            </w:r>
            <w:r>
              <w:rPr>
                <w:sz w:val="18"/>
              </w:rPr>
              <w:t>por</w:t>
            </w:r>
            <w:r>
              <w:rPr>
                <w:spacing w:val="-4"/>
                <w:sz w:val="18"/>
              </w:rPr>
              <w:t> </w:t>
            </w:r>
            <w:r>
              <w:rPr>
                <w:sz w:val="18"/>
              </w:rPr>
              <w:t>el</w:t>
            </w:r>
            <w:r>
              <w:rPr>
                <w:spacing w:val="-6"/>
                <w:sz w:val="18"/>
              </w:rPr>
              <w:t> </w:t>
            </w:r>
            <w:r>
              <w:rPr>
                <w:sz w:val="18"/>
              </w:rPr>
              <w:t>consumidor Universidad Popular</w:t>
            </w:r>
          </w:p>
        </w:tc>
        <w:tc>
          <w:tcPr>
            <w:tcW w:w="1238" w:type="dxa"/>
            <w:tcBorders>
              <w:top w:val="nil"/>
            </w:tcBorders>
            <w:shd w:val="clear" w:color="auto" w:fill="FFFF00"/>
          </w:tcPr>
          <w:p>
            <w:pPr>
              <w:pStyle w:val="TableParagraph"/>
              <w:spacing w:before="136"/>
              <w:ind w:left="69"/>
              <w:rPr>
                <w:sz w:val="18"/>
              </w:rPr>
            </w:pPr>
            <w:r>
              <w:rPr>
                <w:spacing w:val="-2"/>
                <w:sz w:val="18"/>
              </w:rPr>
              <w:t>Competitiva</w:t>
            </w:r>
          </w:p>
        </w:tc>
        <w:tc>
          <w:tcPr>
            <w:tcW w:w="1442" w:type="dxa"/>
            <w:tcBorders>
              <w:top w:val="nil"/>
            </w:tcBorders>
            <w:shd w:val="clear" w:color="auto" w:fill="FFFF00"/>
          </w:tcPr>
          <w:p>
            <w:pPr>
              <w:pStyle w:val="TableParagraph"/>
              <w:spacing w:before="136"/>
              <w:ind w:left="17" w:right="7"/>
              <w:jc w:val="center"/>
              <w:rPr>
                <w:sz w:val="18"/>
              </w:rPr>
            </w:pPr>
            <w:r>
              <w:rPr>
                <w:spacing w:val="-2"/>
                <w:sz w:val="18"/>
              </w:rPr>
              <w:t>3263.47200</w:t>
            </w:r>
          </w:p>
        </w:tc>
        <w:tc>
          <w:tcPr>
            <w:tcW w:w="1360" w:type="dxa"/>
            <w:tcBorders>
              <w:top w:val="nil"/>
            </w:tcBorders>
            <w:shd w:val="clear" w:color="auto" w:fill="99CC00"/>
          </w:tcPr>
          <w:p>
            <w:pPr>
              <w:pStyle w:val="TableParagraph"/>
              <w:spacing w:before="136"/>
              <w:ind w:right="54"/>
              <w:jc w:val="right"/>
              <w:rPr>
                <w:sz w:val="18"/>
              </w:rPr>
            </w:pPr>
            <w:r>
              <w:rPr>
                <w:spacing w:val="4"/>
                <w:w w:val="90"/>
                <w:sz w:val="18"/>
              </w:rPr>
              <w:t>30.000,00</w:t>
            </w:r>
            <w:r>
              <w:rPr>
                <w:spacing w:val="38"/>
                <w:sz w:val="18"/>
              </w:rPr>
              <w:t> </w:t>
            </w:r>
            <w:r>
              <w:rPr>
                <w:spacing w:val="-10"/>
                <w:w w:val="90"/>
                <w:sz w:val="18"/>
              </w:rPr>
              <w:t>€</w:t>
            </w:r>
          </w:p>
        </w:tc>
        <w:tc>
          <w:tcPr>
            <w:tcW w:w="1320" w:type="dxa"/>
            <w:tcBorders>
              <w:top w:val="nil"/>
            </w:tcBorders>
          </w:tcPr>
          <w:p>
            <w:pPr>
              <w:pStyle w:val="TableParagraph"/>
              <w:spacing w:before="136"/>
              <w:ind w:right="54"/>
              <w:jc w:val="right"/>
              <w:rPr>
                <w:sz w:val="18"/>
              </w:rPr>
            </w:pPr>
            <w:r>
              <w:rPr>
                <w:spacing w:val="4"/>
                <w:w w:val="90"/>
                <w:sz w:val="18"/>
              </w:rPr>
              <w:t>30.000,00</w:t>
            </w:r>
            <w:r>
              <w:rPr>
                <w:spacing w:val="36"/>
                <w:sz w:val="18"/>
              </w:rPr>
              <w:t> </w:t>
            </w:r>
            <w:r>
              <w:rPr>
                <w:spacing w:val="-10"/>
                <w:w w:val="90"/>
                <w:sz w:val="18"/>
              </w:rPr>
              <w:t>€</w:t>
            </w:r>
          </w:p>
        </w:tc>
        <w:tc>
          <w:tcPr>
            <w:tcW w:w="659" w:type="dxa"/>
            <w:tcBorders>
              <w:top w:val="nil"/>
            </w:tcBorders>
          </w:tcPr>
          <w:p>
            <w:pPr>
              <w:pStyle w:val="TableParagraph"/>
              <w:rPr>
                <w:rFonts w:ascii="Times New Roman"/>
                <w:sz w:val="18"/>
              </w:rPr>
            </w:pPr>
          </w:p>
        </w:tc>
        <w:tc>
          <w:tcPr>
            <w:tcW w:w="1120" w:type="dxa"/>
            <w:tcBorders>
              <w:top w:val="nil"/>
            </w:tcBorders>
          </w:tcPr>
          <w:p>
            <w:pPr>
              <w:pStyle w:val="TableParagraph"/>
              <w:rPr>
                <w:rFonts w:ascii="Times New Roman"/>
                <w:sz w:val="18"/>
              </w:rPr>
            </w:pPr>
          </w:p>
        </w:tc>
      </w:tr>
      <w:tr>
        <w:trPr>
          <w:trHeight w:val="1449" w:hRule="atLeast"/>
        </w:trPr>
        <w:tc>
          <w:tcPr>
            <w:tcW w:w="1726" w:type="dxa"/>
            <w:shd w:val="clear" w:color="auto" w:fill="D9D9D9"/>
          </w:tcPr>
          <w:p>
            <w:pPr>
              <w:pStyle w:val="TableParagraph"/>
              <w:spacing w:before="1"/>
              <w:ind w:left="69" w:right="129"/>
              <w:rPr>
                <w:rFonts w:ascii="Arial" w:hAnsi="Arial"/>
                <w:b/>
                <w:sz w:val="18"/>
              </w:rPr>
            </w:pPr>
            <w:r>
              <w:rPr>
                <w:rFonts w:ascii="Arial" w:hAnsi="Arial"/>
                <w:b/>
                <w:spacing w:val="-2"/>
                <w:sz w:val="18"/>
              </w:rPr>
              <w:t>Comunicación, transparencia, </w:t>
            </w:r>
            <w:r>
              <w:rPr>
                <w:rFonts w:ascii="Arial" w:hAnsi="Arial"/>
                <w:b/>
                <w:sz w:val="18"/>
              </w:rPr>
              <w:t>turismo, medio ambiente,</w:t>
            </w:r>
            <w:r>
              <w:rPr>
                <w:rFonts w:ascii="Arial" w:hAnsi="Arial"/>
                <w:b/>
                <w:spacing w:val="-13"/>
                <w:sz w:val="18"/>
              </w:rPr>
              <w:t> </w:t>
            </w:r>
            <w:r>
              <w:rPr>
                <w:rFonts w:ascii="Arial" w:hAnsi="Arial"/>
                <w:b/>
                <w:sz w:val="18"/>
              </w:rPr>
              <w:t>nuevas tecnología y </w:t>
            </w:r>
            <w:r>
              <w:rPr>
                <w:rFonts w:ascii="Arial" w:hAnsi="Arial"/>
                <w:b/>
                <w:spacing w:val="-2"/>
                <w:sz w:val="18"/>
              </w:rPr>
              <w:t>administración</w:t>
            </w:r>
          </w:p>
          <w:p>
            <w:pPr>
              <w:pStyle w:val="TableParagraph"/>
              <w:spacing w:line="187" w:lineRule="exact"/>
              <w:ind w:left="69"/>
              <w:rPr>
                <w:rFonts w:ascii="Arial" w:hAnsi="Arial"/>
                <w:b/>
                <w:sz w:val="18"/>
              </w:rPr>
            </w:pPr>
            <w:r>
              <w:rPr>
                <w:rFonts w:ascii="Arial" w:hAnsi="Arial"/>
                <w:b/>
                <w:spacing w:val="-2"/>
                <w:sz w:val="18"/>
              </w:rPr>
              <w:t>electrónica</w:t>
            </w:r>
          </w:p>
        </w:tc>
        <w:tc>
          <w:tcPr>
            <w:tcW w:w="5273" w:type="dxa"/>
            <w:shd w:val="clear" w:color="auto" w:fill="D9D9D9"/>
          </w:tcPr>
          <w:p>
            <w:pPr>
              <w:pStyle w:val="TableParagraph"/>
              <w:rPr>
                <w:rFonts w:ascii="Times New Roman"/>
                <w:sz w:val="18"/>
              </w:rPr>
            </w:pPr>
          </w:p>
        </w:tc>
        <w:tc>
          <w:tcPr>
            <w:tcW w:w="1238" w:type="dxa"/>
            <w:shd w:val="clear" w:color="auto" w:fill="D9D9D9"/>
          </w:tcPr>
          <w:p>
            <w:pPr>
              <w:pStyle w:val="TableParagraph"/>
              <w:rPr>
                <w:rFonts w:ascii="Times New Roman"/>
                <w:sz w:val="18"/>
              </w:rPr>
            </w:pPr>
          </w:p>
        </w:tc>
        <w:tc>
          <w:tcPr>
            <w:tcW w:w="1442" w:type="dxa"/>
            <w:shd w:val="clear" w:color="auto" w:fill="D9D9D9"/>
          </w:tcPr>
          <w:p>
            <w:pPr>
              <w:pStyle w:val="TableParagraph"/>
              <w:rPr>
                <w:rFonts w:ascii="Times New Roman"/>
                <w:sz w:val="18"/>
              </w:rPr>
            </w:pPr>
          </w:p>
        </w:tc>
        <w:tc>
          <w:tcPr>
            <w:tcW w:w="1360" w:type="dxa"/>
            <w:shd w:val="clear" w:color="auto" w:fill="D9D9D9"/>
          </w:tcPr>
          <w:p>
            <w:pPr>
              <w:pStyle w:val="TableParagraph"/>
              <w:rPr>
                <w:rFonts w:ascii="Verdana"/>
                <w:sz w:val="18"/>
              </w:rPr>
            </w:pPr>
          </w:p>
          <w:p>
            <w:pPr>
              <w:pStyle w:val="TableParagraph"/>
              <w:spacing w:before="183"/>
              <w:rPr>
                <w:rFonts w:ascii="Verdana"/>
                <w:sz w:val="18"/>
              </w:rPr>
            </w:pPr>
          </w:p>
          <w:p>
            <w:pPr>
              <w:pStyle w:val="TableParagraph"/>
              <w:ind w:right="54"/>
              <w:jc w:val="right"/>
              <w:rPr>
                <w:rFonts w:ascii="Arial" w:hAnsi="Arial"/>
                <w:b/>
                <w:sz w:val="18"/>
              </w:rPr>
            </w:pPr>
            <w:r>
              <w:rPr>
                <w:rFonts w:ascii="Arial" w:hAnsi="Arial"/>
                <w:b/>
                <w:sz w:val="18"/>
              </w:rPr>
              <w:t>65.000,00</w:t>
            </w:r>
            <w:r>
              <w:rPr>
                <w:rFonts w:ascii="Arial" w:hAnsi="Arial"/>
                <w:b/>
                <w:spacing w:val="-8"/>
                <w:sz w:val="18"/>
              </w:rPr>
              <w:t> </w:t>
            </w:r>
            <w:r>
              <w:rPr>
                <w:rFonts w:ascii="Arial" w:hAnsi="Arial"/>
                <w:b/>
                <w:spacing w:val="-10"/>
                <w:sz w:val="18"/>
              </w:rPr>
              <w:t>€</w:t>
            </w:r>
          </w:p>
        </w:tc>
        <w:tc>
          <w:tcPr>
            <w:tcW w:w="1320" w:type="dxa"/>
            <w:shd w:val="clear" w:color="auto" w:fill="D9D9D9"/>
          </w:tcPr>
          <w:p>
            <w:pPr>
              <w:pStyle w:val="TableParagraph"/>
              <w:rPr>
                <w:rFonts w:ascii="Verdana"/>
                <w:sz w:val="18"/>
              </w:rPr>
            </w:pPr>
          </w:p>
          <w:p>
            <w:pPr>
              <w:pStyle w:val="TableParagraph"/>
              <w:spacing w:before="183"/>
              <w:rPr>
                <w:rFonts w:ascii="Verdana"/>
                <w:sz w:val="18"/>
              </w:rPr>
            </w:pPr>
          </w:p>
          <w:p>
            <w:pPr>
              <w:pStyle w:val="TableParagraph"/>
              <w:ind w:right="54"/>
              <w:jc w:val="right"/>
              <w:rPr>
                <w:rFonts w:ascii="Arial" w:hAnsi="Arial"/>
                <w:b/>
                <w:sz w:val="18"/>
              </w:rPr>
            </w:pPr>
            <w:r>
              <w:rPr>
                <w:rFonts w:ascii="Arial" w:hAnsi="Arial"/>
                <w:b/>
                <w:sz w:val="18"/>
              </w:rPr>
              <w:t>65.000,00</w:t>
            </w:r>
            <w:r>
              <w:rPr>
                <w:rFonts w:ascii="Arial" w:hAnsi="Arial"/>
                <w:b/>
                <w:spacing w:val="-8"/>
                <w:sz w:val="18"/>
              </w:rPr>
              <w:t> </w:t>
            </w:r>
            <w:r>
              <w:rPr>
                <w:rFonts w:ascii="Arial" w:hAnsi="Arial"/>
                <w:b/>
                <w:spacing w:val="-10"/>
                <w:sz w:val="18"/>
              </w:rPr>
              <w:t>€</w:t>
            </w:r>
          </w:p>
        </w:tc>
        <w:tc>
          <w:tcPr>
            <w:tcW w:w="659" w:type="dxa"/>
            <w:shd w:val="clear" w:color="auto" w:fill="D9D9D9"/>
          </w:tcPr>
          <w:p>
            <w:pPr>
              <w:pStyle w:val="TableParagraph"/>
              <w:rPr>
                <w:rFonts w:ascii="Verdana"/>
                <w:sz w:val="18"/>
              </w:rPr>
            </w:pPr>
          </w:p>
          <w:p>
            <w:pPr>
              <w:pStyle w:val="TableParagraph"/>
              <w:spacing w:before="183"/>
              <w:rPr>
                <w:rFonts w:ascii="Verdana"/>
                <w:sz w:val="18"/>
              </w:rPr>
            </w:pPr>
          </w:p>
          <w:p>
            <w:pPr>
              <w:pStyle w:val="TableParagraph"/>
              <w:ind w:left="46" w:right="10"/>
              <w:jc w:val="center"/>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c>
          <w:tcPr>
            <w:tcW w:w="1120" w:type="dxa"/>
            <w:shd w:val="clear" w:color="auto" w:fill="D9D9D9"/>
          </w:tcPr>
          <w:p>
            <w:pPr>
              <w:pStyle w:val="TableParagraph"/>
              <w:rPr>
                <w:rFonts w:ascii="Verdana"/>
                <w:sz w:val="18"/>
              </w:rPr>
            </w:pPr>
          </w:p>
          <w:p>
            <w:pPr>
              <w:pStyle w:val="TableParagraph"/>
              <w:spacing w:before="183"/>
              <w:rPr>
                <w:rFonts w:ascii="Verdana"/>
                <w:sz w:val="18"/>
              </w:rPr>
            </w:pPr>
          </w:p>
          <w:p>
            <w:pPr>
              <w:pStyle w:val="TableParagraph"/>
              <w:ind w:right="52"/>
              <w:jc w:val="right"/>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r>
      <w:tr>
        <w:trPr>
          <w:trHeight w:val="414" w:hRule="atLeast"/>
        </w:trPr>
        <w:tc>
          <w:tcPr>
            <w:tcW w:w="1726" w:type="dxa"/>
            <w:shd w:val="clear" w:color="auto" w:fill="FFFF00"/>
          </w:tcPr>
          <w:p>
            <w:pPr>
              <w:pStyle w:val="TableParagraph"/>
              <w:rPr>
                <w:rFonts w:ascii="Times New Roman"/>
                <w:sz w:val="18"/>
              </w:rPr>
            </w:pPr>
          </w:p>
        </w:tc>
        <w:tc>
          <w:tcPr>
            <w:tcW w:w="5273" w:type="dxa"/>
            <w:shd w:val="clear" w:color="auto" w:fill="FFFF00"/>
          </w:tcPr>
          <w:p>
            <w:pPr>
              <w:pStyle w:val="TableParagraph"/>
              <w:spacing w:line="208" w:lineRule="exact"/>
              <w:ind w:left="69" w:right="165"/>
              <w:rPr>
                <w:sz w:val="18"/>
              </w:rPr>
            </w:pPr>
            <w:r>
              <w:rPr>
                <w:sz w:val="18"/>
              </w:rPr>
              <w:t>Subvención</w:t>
            </w:r>
            <w:r>
              <w:rPr>
                <w:spacing w:val="-3"/>
                <w:sz w:val="18"/>
              </w:rPr>
              <w:t> </w:t>
            </w:r>
            <w:r>
              <w:rPr>
                <w:sz w:val="18"/>
              </w:rPr>
              <w:t>a</w:t>
            </w:r>
            <w:r>
              <w:rPr>
                <w:spacing w:val="-6"/>
                <w:sz w:val="18"/>
              </w:rPr>
              <w:t> </w:t>
            </w:r>
            <w:r>
              <w:rPr>
                <w:sz w:val="18"/>
              </w:rPr>
              <w:t>la</w:t>
            </w:r>
            <w:r>
              <w:rPr>
                <w:spacing w:val="-6"/>
                <w:sz w:val="18"/>
              </w:rPr>
              <w:t> </w:t>
            </w:r>
            <w:r>
              <w:rPr>
                <w:sz w:val="18"/>
              </w:rPr>
              <w:t>Mancomunidad</w:t>
            </w:r>
            <w:r>
              <w:rPr>
                <w:spacing w:val="-4"/>
                <w:sz w:val="18"/>
              </w:rPr>
              <w:t> </w:t>
            </w:r>
            <w:r>
              <w:rPr>
                <w:sz w:val="18"/>
              </w:rPr>
              <w:t>del</w:t>
            </w:r>
            <w:r>
              <w:rPr>
                <w:spacing w:val="-4"/>
                <w:sz w:val="18"/>
              </w:rPr>
              <w:t> </w:t>
            </w:r>
            <w:r>
              <w:rPr>
                <w:sz w:val="18"/>
              </w:rPr>
              <w:t>Norte</w:t>
            </w:r>
            <w:r>
              <w:rPr>
                <w:spacing w:val="-6"/>
                <w:sz w:val="18"/>
              </w:rPr>
              <w:t> </w:t>
            </w:r>
            <w:r>
              <w:rPr>
                <w:sz w:val="18"/>
              </w:rPr>
              <w:t>para</w:t>
            </w:r>
            <w:r>
              <w:rPr>
                <w:spacing w:val="-6"/>
                <w:sz w:val="18"/>
              </w:rPr>
              <w:t> </w:t>
            </w:r>
            <w:r>
              <w:rPr>
                <w:sz w:val="18"/>
              </w:rPr>
              <w:t>el</w:t>
            </w:r>
            <w:r>
              <w:rPr>
                <w:spacing w:val="-6"/>
                <w:sz w:val="18"/>
              </w:rPr>
              <w:t> </w:t>
            </w:r>
            <w:r>
              <w:rPr>
                <w:sz w:val="18"/>
              </w:rPr>
              <w:t>pago </w:t>
            </w:r>
            <w:r>
              <w:rPr>
                <w:spacing w:val="-2"/>
                <w:sz w:val="18"/>
              </w:rPr>
              <w:t>Gestiona</w:t>
            </w:r>
          </w:p>
        </w:tc>
        <w:tc>
          <w:tcPr>
            <w:tcW w:w="1238" w:type="dxa"/>
            <w:shd w:val="clear" w:color="auto" w:fill="FFFF00"/>
          </w:tcPr>
          <w:p>
            <w:pPr>
              <w:pStyle w:val="TableParagraph"/>
              <w:spacing w:before="104"/>
              <w:ind w:left="69"/>
              <w:rPr>
                <w:sz w:val="18"/>
              </w:rPr>
            </w:pPr>
            <w:r>
              <w:rPr>
                <w:spacing w:val="-2"/>
                <w:sz w:val="18"/>
              </w:rPr>
              <w:t>Nominativa</w:t>
            </w:r>
          </w:p>
        </w:tc>
        <w:tc>
          <w:tcPr>
            <w:tcW w:w="1442" w:type="dxa"/>
            <w:shd w:val="clear" w:color="auto" w:fill="FFFF00"/>
          </w:tcPr>
          <w:p>
            <w:pPr>
              <w:pStyle w:val="TableParagraph"/>
              <w:spacing w:before="104"/>
              <w:ind w:left="17" w:right="9"/>
              <w:jc w:val="center"/>
              <w:rPr>
                <w:sz w:val="18"/>
              </w:rPr>
            </w:pPr>
            <w:r>
              <w:rPr>
                <w:spacing w:val="-2"/>
                <w:sz w:val="18"/>
              </w:rPr>
              <w:t>926.46300</w:t>
            </w:r>
          </w:p>
        </w:tc>
        <w:tc>
          <w:tcPr>
            <w:tcW w:w="1360" w:type="dxa"/>
            <w:shd w:val="clear" w:color="auto" w:fill="99CC00"/>
          </w:tcPr>
          <w:p>
            <w:pPr>
              <w:pStyle w:val="TableParagraph"/>
              <w:spacing w:before="104"/>
              <w:ind w:right="54"/>
              <w:jc w:val="right"/>
              <w:rPr>
                <w:sz w:val="18"/>
              </w:rPr>
            </w:pPr>
            <w:r>
              <w:rPr>
                <w:spacing w:val="4"/>
                <w:w w:val="90"/>
                <w:sz w:val="18"/>
              </w:rPr>
              <w:t>65.000,00</w:t>
            </w:r>
            <w:r>
              <w:rPr>
                <w:spacing w:val="38"/>
                <w:sz w:val="18"/>
              </w:rPr>
              <w:t> </w:t>
            </w:r>
            <w:r>
              <w:rPr>
                <w:spacing w:val="-10"/>
                <w:w w:val="90"/>
                <w:sz w:val="18"/>
              </w:rPr>
              <w:t>€</w:t>
            </w:r>
          </w:p>
        </w:tc>
        <w:tc>
          <w:tcPr>
            <w:tcW w:w="1320" w:type="dxa"/>
          </w:tcPr>
          <w:p>
            <w:pPr>
              <w:pStyle w:val="TableParagraph"/>
              <w:spacing w:before="104"/>
              <w:ind w:right="54"/>
              <w:jc w:val="right"/>
              <w:rPr>
                <w:sz w:val="18"/>
              </w:rPr>
            </w:pPr>
            <w:r>
              <w:rPr>
                <w:spacing w:val="4"/>
                <w:w w:val="90"/>
                <w:sz w:val="18"/>
              </w:rPr>
              <w:t>65.000,00</w:t>
            </w:r>
            <w:r>
              <w:rPr>
                <w:spacing w:val="38"/>
                <w:sz w:val="18"/>
              </w:rPr>
              <w:t> </w:t>
            </w:r>
            <w:r>
              <w:rPr>
                <w:spacing w:val="-10"/>
                <w:w w:val="90"/>
                <w:sz w:val="18"/>
              </w:rPr>
              <w:t>€</w:t>
            </w:r>
          </w:p>
        </w:tc>
        <w:tc>
          <w:tcPr>
            <w:tcW w:w="659" w:type="dxa"/>
          </w:tcPr>
          <w:p>
            <w:pPr>
              <w:pStyle w:val="TableParagraph"/>
              <w:rPr>
                <w:rFonts w:ascii="Times New Roman"/>
                <w:sz w:val="18"/>
              </w:rPr>
            </w:pPr>
          </w:p>
        </w:tc>
        <w:tc>
          <w:tcPr>
            <w:tcW w:w="1120" w:type="dxa"/>
          </w:tcPr>
          <w:p>
            <w:pPr>
              <w:pStyle w:val="TableParagraph"/>
              <w:rPr>
                <w:rFonts w:ascii="Times New Roman"/>
                <w:sz w:val="18"/>
              </w:rPr>
            </w:pPr>
          </w:p>
        </w:tc>
      </w:tr>
      <w:tr>
        <w:trPr>
          <w:trHeight w:val="298" w:hRule="atLeast"/>
        </w:trPr>
        <w:tc>
          <w:tcPr>
            <w:tcW w:w="1726" w:type="dxa"/>
            <w:shd w:val="clear" w:color="auto" w:fill="D9D9D9"/>
          </w:tcPr>
          <w:p>
            <w:pPr>
              <w:pStyle w:val="TableParagraph"/>
              <w:spacing w:before="43"/>
              <w:ind w:left="69"/>
              <w:rPr>
                <w:rFonts w:ascii="Arial" w:hAnsi="Arial"/>
                <w:b/>
                <w:sz w:val="18"/>
              </w:rPr>
            </w:pPr>
            <w:r>
              <w:rPr>
                <w:rFonts w:ascii="Arial" w:hAnsi="Arial"/>
                <w:b/>
                <w:sz w:val="18"/>
              </w:rPr>
              <w:t>Política</w:t>
            </w:r>
            <w:r>
              <w:rPr>
                <w:rFonts w:ascii="Arial" w:hAnsi="Arial"/>
                <w:b/>
                <w:spacing w:val="-5"/>
                <w:sz w:val="18"/>
              </w:rPr>
              <w:t> </w:t>
            </w:r>
            <w:r>
              <w:rPr>
                <w:rFonts w:ascii="Arial" w:hAnsi="Arial"/>
                <w:b/>
                <w:sz w:val="18"/>
              </w:rPr>
              <w:t>del </w:t>
            </w:r>
            <w:r>
              <w:rPr>
                <w:rFonts w:ascii="Arial" w:hAnsi="Arial"/>
                <w:b/>
                <w:spacing w:val="-2"/>
                <w:sz w:val="18"/>
              </w:rPr>
              <w:t>mayor</w:t>
            </w:r>
          </w:p>
        </w:tc>
        <w:tc>
          <w:tcPr>
            <w:tcW w:w="5273" w:type="dxa"/>
            <w:shd w:val="clear" w:color="auto" w:fill="D9D9D9"/>
          </w:tcPr>
          <w:p>
            <w:pPr>
              <w:pStyle w:val="TableParagraph"/>
              <w:rPr>
                <w:rFonts w:ascii="Times New Roman"/>
                <w:sz w:val="18"/>
              </w:rPr>
            </w:pPr>
          </w:p>
        </w:tc>
        <w:tc>
          <w:tcPr>
            <w:tcW w:w="1238" w:type="dxa"/>
            <w:shd w:val="clear" w:color="auto" w:fill="D9D9D9"/>
          </w:tcPr>
          <w:p>
            <w:pPr>
              <w:pStyle w:val="TableParagraph"/>
              <w:rPr>
                <w:rFonts w:ascii="Times New Roman"/>
                <w:sz w:val="18"/>
              </w:rPr>
            </w:pPr>
          </w:p>
        </w:tc>
        <w:tc>
          <w:tcPr>
            <w:tcW w:w="1442" w:type="dxa"/>
            <w:shd w:val="clear" w:color="auto" w:fill="D9D9D9"/>
          </w:tcPr>
          <w:p>
            <w:pPr>
              <w:pStyle w:val="TableParagraph"/>
              <w:rPr>
                <w:rFonts w:ascii="Times New Roman"/>
                <w:sz w:val="18"/>
              </w:rPr>
            </w:pPr>
          </w:p>
        </w:tc>
        <w:tc>
          <w:tcPr>
            <w:tcW w:w="1360" w:type="dxa"/>
            <w:shd w:val="clear" w:color="auto" w:fill="D9D9D9"/>
          </w:tcPr>
          <w:p>
            <w:pPr>
              <w:pStyle w:val="TableParagraph"/>
              <w:spacing w:before="43"/>
              <w:ind w:right="54"/>
              <w:jc w:val="right"/>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c>
          <w:tcPr>
            <w:tcW w:w="1320" w:type="dxa"/>
            <w:shd w:val="clear" w:color="auto" w:fill="D9D9D9"/>
          </w:tcPr>
          <w:p>
            <w:pPr>
              <w:pStyle w:val="TableParagraph"/>
              <w:spacing w:before="43"/>
              <w:ind w:right="54"/>
              <w:jc w:val="right"/>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c>
          <w:tcPr>
            <w:tcW w:w="659" w:type="dxa"/>
            <w:shd w:val="clear" w:color="auto" w:fill="D9D9D9"/>
          </w:tcPr>
          <w:p>
            <w:pPr>
              <w:pStyle w:val="TableParagraph"/>
              <w:spacing w:before="43"/>
              <w:ind w:left="46" w:right="10"/>
              <w:jc w:val="center"/>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c>
          <w:tcPr>
            <w:tcW w:w="1120" w:type="dxa"/>
            <w:shd w:val="clear" w:color="auto" w:fill="D9D9D9"/>
          </w:tcPr>
          <w:p>
            <w:pPr>
              <w:pStyle w:val="TableParagraph"/>
              <w:spacing w:before="43"/>
              <w:ind w:right="52"/>
              <w:jc w:val="right"/>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r>
      <w:tr>
        <w:trPr>
          <w:trHeight w:val="299" w:hRule="atLeast"/>
        </w:trPr>
        <w:tc>
          <w:tcPr>
            <w:tcW w:w="1726" w:type="dxa"/>
            <w:shd w:val="clear" w:color="auto" w:fill="FFFF00"/>
          </w:tcPr>
          <w:p>
            <w:pPr>
              <w:pStyle w:val="TableParagraph"/>
              <w:rPr>
                <w:rFonts w:ascii="Times New Roman"/>
                <w:sz w:val="18"/>
              </w:rPr>
            </w:pPr>
          </w:p>
        </w:tc>
        <w:tc>
          <w:tcPr>
            <w:tcW w:w="5273" w:type="dxa"/>
            <w:shd w:val="clear" w:color="auto" w:fill="FFFF00"/>
          </w:tcPr>
          <w:p>
            <w:pPr>
              <w:pStyle w:val="TableParagraph"/>
              <w:rPr>
                <w:rFonts w:ascii="Times New Roman"/>
                <w:sz w:val="18"/>
              </w:rPr>
            </w:pPr>
          </w:p>
        </w:tc>
        <w:tc>
          <w:tcPr>
            <w:tcW w:w="1238" w:type="dxa"/>
            <w:shd w:val="clear" w:color="auto" w:fill="FFFF00"/>
          </w:tcPr>
          <w:p>
            <w:pPr>
              <w:pStyle w:val="TableParagraph"/>
              <w:rPr>
                <w:rFonts w:ascii="Times New Roman"/>
                <w:sz w:val="18"/>
              </w:rPr>
            </w:pPr>
          </w:p>
        </w:tc>
        <w:tc>
          <w:tcPr>
            <w:tcW w:w="1442" w:type="dxa"/>
            <w:shd w:val="clear" w:color="auto" w:fill="FFFF00"/>
          </w:tcPr>
          <w:p>
            <w:pPr>
              <w:pStyle w:val="TableParagraph"/>
              <w:rPr>
                <w:rFonts w:ascii="Times New Roman"/>
                <w:sz w:val="18"/>
              </w:rPr>
            </w:pPr>
          </w:p>
        </w:tc>
        <w:tc>
          <w:tcPr>
            <w:tcW w:w="1360" w:type="dxa"/>
            <w:shd w:val="clear" w:color="auto" w:fill="99CC00"/>
          </w:tcPr>
          <w:p>
            <w:pPr>
              <w:pStyle w:val="TableParagraph"/>
              <w:rPr>
                <w:rFonts w:ascii="Times New Roman"/>
                <w:sz w:val="18"/>
              </w:rPr>
            </w:pPr>
          </w:p>
        </w:tc>
        <w:tc>
          <w:tcPr>
            <w:tcW w:w="1320" w:type="dxa"/>
          </w:tcPr>
          <w:p>
            <w:pPr>
              <w:pStyle w:val="TableParagraph"/>
              <w:rPr>
                <w:rFonts w:ascii="Times New Roman"/>
                <w:sz w:val="18"/>
              </w:rPr>
            </w:pPr>
          </w:p>
        </w:tc>
        <w:tc>
          <w:tcPr>
            <w:tcW w:w="659" w:type="dxa"/>
          </w:tcPr>
          <w:p>
            <w:pPr>
              <w:pStyle w:val="TableParagraph"/>
              <w:rPr>
                <w:rFonts w:ascii="Times New Roman"/>
                <w:sz w:val="18"/>
              </w:rPr>
            </w:pPr>
          </w:p>
        </w:tc>
        <w:tc>
          <w:tcPr>
            <w:tcW w:w="1120" w:type="dxa"/>
          </w:tcPr>
          <w:p>
            <w:pPr>
              <w:pStyle w:val="TableParagraph"/>
              <w:rPr>
                <w:rFonts w:ascii="Times New Roman"/>
                <w:sz w:val="18"/>
              </w:rPr>
            </w:pPr>
          </w:p>
        </w:tc>
      </w:tr>
      <w:tr>
        <w:trPr>
          <w:trHeight w:val="414" w:hRule="atLeast"/>
        </w:trPr>
        <w:tc>
          <w:tcPr>
            <w:tcW w:w="1726" w:type="dxa"/>
            <w:shd w:val="clear" w:color="auto" w:fill="D9D9D9"/>
          </w:tcPr>
          <w:p>
            <w:pPr>
              <w:pStyle w:val="TableParagraph"/>
              <w:spacing w:line="208" w:lineRule="exact"/>
              <w:ind w:left="69" w:right="79"/>
              <w:rPr>
                <w:rFonts w:ascii="Arial"/>
                <w:b/>
                <w:sz w:val="18"/>
              </w:rPr>
            </w:pPr>
            <w:r>
              <w:rPr>
                <w:rFonts w:ascii="Arial"/>
                <w:b/>
                <w:sz w:val="18"/>
              </w:rPr>
              <w:t>Parque y jardines y</w:t>
            </w:r>
            <w:r>
              <w:rPr>
                <w:rFonts w:ascii="Arial"/>
                <w:b/>
                <w:spacing w:val="-13"/>
                <w:sz w:val="18"/>
              </w:rPr>
              <w:t> </w:t>
            </w:r>
            <w:r>
              <w:rPr>
                <w:rFonts w:ascii="Arial"/>
                <w:b/>
                <w:sz w:val="18"/>
              </w:rPr>
              <w:t>embellecimiento</w:t>
            </w:r>
          </w:p>
        </w:tc>
        <w:tc>
          <w:tcPr>
            <w:tcW w:w="5273" w:type="dxa"/>
            <w:shd w:val="clear" w:color="auto" w:fill="D9D9D9"/>
          </w:tcPr>
          <w:p>
            <w:pPr>
              <w:pStyle w:val="TableParagraph"/>
              <w:rPr>
                <w:rFonts w:ascii="Times New Roman"/>
                <w:sz w:val="18"/>
              </w:rPr>
            </w:pPr>
          </w:p>
        </w:tc>
        <w:tc>
          <w:tcPr>
            <w:tcW w:w="1238" w:type="dxa"/>
            <w:shd w:val="clear" w:color="auto" w:fill="D9D9D9"/>
          </w:tcPr>
          <w:p>
            <w:pPr>
              <w:pStyle w:val="TableParagraph"/>
              <w:rPr>
                <w:rFonts w:ascii="Times New Roman"/>
                <w:sz w:val="18"/>
              </w:rPr>
            </w:pPr>
          </w:p>
        </w:tc>
        <w:tc>
          <w:tcPr>
            <w:tcW w:w="1442" w:type="dxa"/>
            <w:shd w:val="clear" w:color="auto" w:fill="D9D9D9"/>
          </w:tcPr>
          <w:p>
            <w:pPr>
              <w:pStyle w:val="TableParagraph"/>
              <w:rPr>
                <w:rFonts w:ascii="Times New Roman"/>
                <w:sz w:val="18"/>
              </w:rPr>
            </w:pPr>
          </w:p>
        </w:tc>
        <w:tc>
          <w:tcPr>
            <w:tcW w:w="1360" w:type="dxa"/>
            <w:shd w:val="clear" w:color="auto" w:fill="D9D9D9"/>
          </w:tcPr>
          <w:p>
            <w:pPr>
              <w:pStyle w:val="TableParagraph"/>
              <w:spacing w:before="104"/>
              <w:ind w:right="54"/>
              <w:jc w:val="right"/>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c>
          <w:tcPr>
            <w:tcW w:w="1320" w:type="dxa"/>
            <w:shd w:val="clear" w:color="auto" w:fill="D9D9D9"/>
          </w:tcPr>
          <w:p>
            <w:pPr>
              <w:pStyle w:val="TableParagraph"/>
              <w:spacing w:before="104"/>
              <w:ind w:right="54"/>
              <w:jc w:val="right"/>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c>
          <w:tcPr>
            <w:tcW w:w="659" w:type="dxa"/>
            <w:shd w:val="clear" w:color="auto" w:fill="D9D9D9"/>
          </w:tcPr>
          <w:p>
            <w:pPr>
              <w:pStyle w:val="TableParagraph"/>
              <w:spacing w:before="104"/>
              <w:ind w:left="46" w:right="10"/>
              <w:jc w:val="center"/>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c>
          <w:tcPr>
            <w:tcW w:w="1120" w:type="dxa"/>
            <w:shd w:val="clear" w:color="auto" w:fill="D9D9D9"/>
          </w:tcPr>
          <w:p>
            <w:pPr>
              <w:pStyle w:val="TableParagraph"/>
              <w:spacing w:before="104"/>
              <w:ind w:right="52"/>
              <w:jc w:val="right"/>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r>
      <w:tr>
        <w:trPr>
          <w:trHeight w:val="284" w:hRule="atLeast"/>
        </w:trPr>
        <w:tc>
          <w:tcPr>
            <w:tcW w:w="1726" w:type="dxa"/>
            <w:shd w:val="clear" w:color="auto" w:fill="FFFF00"/>
          </w:tcPr>
          <w:p>
            <w:pPr>
              <w:pStyle w:val="TableParagraph"/>
              <w:rPr>
                <w:rFonts w:ascii="Times New Roman"/>
                <w:sz w:val="18"/>
              </w:rPr>
            </w:pPr>
          </w:p>
        </w:tc>
        <w:tc>
          <w:tcPr>
            <w:tcW w:w="5273" w:type="dxa"/>
            <w:shd w:val="clear" w:color="auto" w:fill="FFFF00"/>
          </w:tcPr>
          <w:p>
            <w:pPr>
              <w:pStyle w:val="TableParagraph"/>
              <w:rPr>
                <w:rFonts w:ascii="Times New Roman"/>
                <w:sz w:val="18"/>
              </w:rPr>
            </w:pPr>
          </w:p>
        </w:tc>
        <w:tc>
          <w:tcPr>
            <w:tcW w:w="1238" w:type="dxa"/>
            <w:shd w:val="clear" w:color="auto" w:fill="FFFF00"/>
          </w:tcPr>
          <w:p>
            <w:pPr>
              <w:pStyle w:val="TableParagraph"/>
              <w:rPr>
                <w:rFonts w:ascii="Times New Roman"/>
                <w:sz w:val="18"/>
              </w:rPr>
            </w:pPr>
          </w:p>
        </w:tc>
        <w:tc>
          <w:tcPr>
            <w:tcW w:w="1442" w:type="dxa"/>
            <w:shd w:val="clear" w:color="auto" w:fill="FFFF00"/>
          </w:tcPr>
          <w:p>
            <w:pPr>
              <w:pStyle w:val="TableParagraph"/>
              <w:rPr>
                <w:rFonts w:ascii="Times New Roman"/>
                <w:sz w:val="18"/>
              </w:rPr>
            </w:pPr>
          </w:p>
        </w:tc>
        <w:tc>
          <w:tcPr>
            <w:tcW w:w="1360" w:type="dxa"/>
            <w:shd w:val="clear" w:color="auto" w:fill="99CC00"/>
          </w:tcPr>
          <w:p>
            <w:pPr>
              <w:pStyle w:val="TableParagraph"/>
              <w:rPr>
                <w:rFonts w:ascii="Times New Roman"/>
                <w:sz w:val="18"/>
              </w:rPr>
            </w:pPr>
          </w:p>
        </w:tc>
        <w:tc>
          <w:tcPr>
            <w:tcW w:w="1320" w:type="dxa"/>
          </w:tcPr>
          <w:p>
            <w:pPr>
              <w:pStyle w:val="TableParagraph"/>
              <w:rPr>
                <w:rFonts w:ascii="Times New Roman"/>
                <w:sz w:val="18"/>
              </w:rPr>
            </w:pPr>
          </w:p>
        </w:tc>
        <w:tc>
          <w:tcPr>
            <w:tcW w:w="659" w:type="dxa"/>
          </w:tcPr>
          <w:p>
            <w:pPr>
              <w:pStyle w:val="TableParagraph"/>
              <w:rPr>
                <w:rFonts w:ascii="Times New Roman"/>
                <w:sz w:val="18"/>
              </w:rPr>
            </w:pPr>
          </w:p>
        </w:tc>
        <w:tc>
          <w:tcPr>
            <w:tcW w:w="1120" w:type="dxa"/>
          </w:tcPr>
          <w:p>
            <w:pPr>
              <w:pStyle w:val="TableParagraph"/>
              <w:rPr>
                <w:rFonts w:ascii="Times New Roman"/>
                <w:sz w:val="18"/>
              </w:rPr>
            </w:pPr>
          </w:p>
        </w:tc>
      </w:tr>
      <w:tr>
        <w:trPr>
          <w:trHeight w:val="415" w:hRule="atLeast"/>
        </w:trPr>
        <w:tc>
          <w:tcPr>
            <w:tcW w:w="1726" w:type="dxa"/>
            <w:shd w:val="clear" w:color="auto" w:fill="D9D9D9"/>
          </w:tcPr>
          <w:p>
            <w:pPr>
              <w:pStyle w:val="TableParagraph"/>
              <w:spacing w:line="206" w:lineRule="exact"/>
              <w:ind w:left="69" w:right="269"/>
              <w:rPr>
                <w:rFonts w:ascii="Arial" w:hAnsi="Arial"/>
                <w:b/>
                <w:sz w:val="18"/>
              </w:rPr>
            </w:pPr>
            <w:r>
              <w:rPr>
                <w:rFonts w:ascii="Arial" w:hAnsi="Arial"/>
                <w:b/>
                <w:sz w:val="18"/>
              </w:rPr>
              <w:t>Actividad</w:t>
            </w:r>
            <w:r>
              <w:rPr>
                <w:rFonts w:ascii="Arial" w:hAnsi="Arial"/>
                <w:b/>
                <w:spacing w:val="-13"/>
                <w:sz w:val="18"/>
              </w:rPr>
              <w:t> </w:t>
            </w:r>
            <w:r>
              <w:rPr>
                <w:rFonts w:ascii="Arial" w:hAnsi="Arial"/>
                <w:b/>
                <w:sz w:val="18"/>
              </w:rPr>
              <w:t>física, deporte</w:t>
            </w:r>
            <w:r>
              <w:rPr>
                <w:rFonts w:ascii="Arial" w:hAnsi="Arial"/>
                <w:b/>
                <w:spacing w:val="-2"/>
                <w:sz w:val="18"/>
              </w:rPr>
              <w:t> </w:t>
            </w:r>
            <w:r>
              <w:rPr>
                <w:rFonts w:ascii="Arial" w:hAnsi="Arial"/>
                <w:b/>
                <w:sz w:val="18"/>
              </w:rPr>
              <w:t>y</w:t>
            </w:r>
            <w:r>
              <w:rPr>
                <w:rFonts w:ascii="Arial" w:hAnsi="Arial"/>
                <w:b/>
                <w:spacing w:val="-3"/>
                <w:sz w:val="18"/>
              </w:rPr>
              <w:t> </w:t>
            </w:r>
            <w:r>
              <w:rPr>
                <w:rFonts w:ascii="Arial" w:hAnsi="Arial"/>
                <w:b/>
                <w:spacing w:val="-2"/>
                <w:sz w:val="18"/>
              </w:rPr>
              <w:t>salud</w:t>
            </w:r>
          </w:p>
        </w:tc>
        <w:tc>
          <w:tcPr>
            <w:tcW w:w="5273" w:type="dxa"/>
            <w:shd w:val="clear" w:color="auto" w:fill="D9D9D9"/>
          </w:tcPr>
          <w:p>
            <w:pPr>
              <w:pStyle w:val="TableParagraph"/>
              <w:rPr>
                <w:rFonts w:ascii="Times New Roman"/>
                <w:sz w:val="18"/>
              </w:rPr>
            </w:pPr>
          </w:p>
        </w:tc>
        <w:tc>
          <w:tcPr>
            <w:tcW w:w="1238" w:type="dxa"/>
            <w:shd w:val="clear" w:color="auto" w:fill="D9D9D9"/>
          </w:tcPr>
          <w:p>
            <w:pPr>
              <w:pStyle w:val="TableParagraph"/>
              <w:rPr>
                <w:rFonts w:ascii="Times New Roman"/>
                <w:sz w:val="18"/>
              </w:rPr>
            </w:pPr>
          </w:p>
        </w:tc>
        <w:tc>
          <w:tcPr>
            <w:tcW w:w="1442" w:type="dxa"/>
            <w:shd w:val="clear" w:color="auto" w:fill="D9D9D9"/>
          </w:tcPr>
          <w:p>
            <w:pPr>
              <w:pStyle w:val="TableParagraph"/>
              <w:rPr>
                <w:rFonts w:ascii="Times New Roman"/>
                <w:sz w:val="18"/>
              </w:rPr>
            </w:pPr>
          </w:p>
        </w:tc>
        <w:tc>
          <w:tcPr>
            <w:tcW w:w="1360" w:type="dxa"/>
            <w:shd w:val="clear" w:color="auto" w:fill="D9D9D9"/>
          </w:tcPr>
          <w:p>
            <w:pPr>
              <w:pStyle w:val="TableParagraph"/>
              <w:spacing w:before="102"/>
              <w:ind w:right="55"/>
              <w:jc w:val="right"/>
              <w:rPr>
                <w:rFonts w:ascii="Arial" w:hAnsi="Arial"/>
                <w:b/>
                <w:sz w:val="18"/>
              </w:rPr>
            </w:pPr>
            <w:r>
              <w:rPr>
                <w:rFonts w:ascii="Arial" w:hAnsi="Arial"/>
                <w:b/>
                <w:sz w:val="18"/>
              </w:rPr>
              <w:t>100.000,00</w:t>
            </w:r>
            <w:r>
              <w:rPr>
                <w:rFonts w:ascii="Arial" w:hAnsi="Arial"/>
                <w:b/>
                <w:spacing w:val="-6"/>
                <w:sz w:val="18"/>
              </w:rPr>
              <w:t> </w:t>
            </w:r>
            <w:r>
              <w:rPr>
                <w:rFonts w:ascii="Arial" w:hAnsi="Arial"/>
                <w:b/>
                <w:spacing w:val="-10"/>
                <w:sz w:val="18"/>
              </w:rPr>
              <w:t>€</w:t>
            </w:r>
          </w:p>
        </w:tc>
        <w:tc>
          <w:tcPr>
            <w:tcW w:w="1320" w:type="dxa"/>
            <w:shd w:val="clear" w:color="auto" w:fill="D9D9D9"/>
          </w:tcPr>
          <w:p>
            <w:pPr>
              <w:pStyle w:val="TableParagraph"/>
              <w:spacing w:before="102"/>
              <w:ind w:right="55"/>
              <w:jc w:val="right"/>
              <w:rPr>
                <w:rFonts w:ascii="Arial" w:hAnsi="Arial"/>
                <w:b/>
                <w:sz w:val="18"/>
              </w:rPr>
            </w:pPr>
            <w:r>
              <w:rPr>
                <w:rFonts w:ascii="Arial" w:hAnsi="Arial"/>
                <w:b/>
                <w:sz w:val="18"/>
              </w:rPr>
              <w:t>100.000,00</w:t>
            </w:r>
            <w:r>
              <w:rPr>
                <w:rFonts w:ascii="Arial" w:hAnsi="Arial"/>
                <w:b/>
                <w:spacing w:val="-6"/>
                <w:sz w:val="18"/>
              </w:rPr>
              <w:t> </w:t>
            </w:r>
            <w:r>
              <w:rPr>
                <w:rFonts w:ascii="Arial" w:hAnsi="Arial"/>
                <w:b/>
                <w:spacing w:val="-10"/>
                <w:sz w:val="18"/>
              </w:rPr>
              <w:t>€</w:t>
            </w:r>
          </w:p>
        </w:tc>
        <w:tc>
          <w:tcPr>
            <w:tcW w:w="659" w:type="dxa"/>
            <w:shd w:val="clear" w:color="auto" w:fill="D9D9D9"/>
          </w:tcPr>
          <w:p>
            <w:pPr>
              <w:pStyle w:val="TableParagraph"/>
              <w:spacing w:before="102"/>
              <w:ind w:left="46" w:right="10"/>
              <w:jc w:val="center"/>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c>
          <w:tcPr>
            <w:tcW w:w="1120" w:type="dxa"/>
            <w:shd w:val="clear" w:color="auto" w:fill="D9D9D9"/>
          </w:tcPr>
          <w:p>
            <w:pPr>
              <w:pStyle w:val="TableParagraph"/>
              <w:spacing w:before="102"/>
              <w:ind w:right="52"/>
              <w:jc w:val="right"/>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r>
      <w:tr>
        <w:trPr>
          <w:trHeight w:val="479" w:hRule="atLeast"/>
        </w:trPr>
        <w:tc>
          <w:tcPr>
            <w:tcW w:w="1726" w:type="dxa"/>
            <w:shd w:val="clear" w:color="auto" w:fill="FFFF00"/>
          </w:tcPr>
          <w:p>
            <w:pPr>
              <w:pStyle w:val="TableParagraph"/>
              <w:rPr>
                <w:rFonts w:ascii="Times New Roman"/>
                <w:sz w:val="18"/>
              </w:rPr>
            </w:pPr>
          </w:p>
        </w:tc>
        <w:tc>
          <w:tcPr>
            <w:tcW w:w="5273" w:type="dxa"/>
            <w:shd w:val="clear" w:color="auto" w:fill="FFFF00"/>
          </w:tcPr>
          <w:p>
            <w:pPr>
              <w:pStyle w:val="TableParagraph"/>
              <w:spacing w:before="30"/>
              <w:ind w:left="69"/>
              <w:rPr>
                <w:sz w:val="18"/>
              </w:rPr>
            </w:pPr>
            <w:r>
              <w:rPr>
                <w:sz w:val="18"/>
              </w:rPr>
              <w:t>Ayudas</w:t>
            </w:r>
            <w:r>
              <w:rPr>
                <w:spacing w:val="-3"/>
                <w:sz w:val="18"/>
              </w:rPr>
              <w:t> </w:t>
            </w:r>
            <w:r>
              <w:rPr>
                <w:sz w:val="18"/>
              </w:rPr>
              <w:t>y</w:t>
            </w:r>
            <w:r>
              <w:rPr>
                <w:spacing w:val="-5"/>
                <w:sz w:val="18"/>
              </w:rPr>
              <w:t> </w:t>
            </w:r>
            <w:r>
              <w:rPr>
                <w:sz w:val="18"/>
              </w:rPr>
              <w:t>subvenciones</w:t>
            </w:r>
            <w:r>
              <w:rPr>
                <w:spacing w:val="-3"/>
                <w:sz w:val="18"/>
              </w:rPr>
              <w:t> </w:t>
            </w:r>
            <w:r>
              <w:rPr>
                <w:sz w:val="18"/>
              </w:rPr>
              <w:t>para</w:t>
            </w:r>
            <w:r>
              <w:rPr>
                <w:spacing w:val="-4"/>
                <w:sz w:val="18"/>
              </w:rPr>
              <w:t> </w:t>
            </w:r>
            <w:r>
              <w:rPr>
                <w:sz w:val="18"/>
              </w:rPr>
              <w:t>entidades</w:t>
            </w:r>
            <w:r>
              <w:rPr>
                <w:spacing w:val="-6"/>
                <w:sz w:val="18"/>
              </w:rPr>
              <w:t> </w:t>
            </w:r>
            <w:r>
              <w:rPr>
                <w:sz w:val="18"/>
              </w:rPr>
              <w:t>por</w:t>
            </w:r>
            <w:r>
              <w:rPr>
                <w:spacing w:val="-6"/>
                <w:sz w:val="18"/>
              </w:rPr>
              <w:t> </w:t>
            </w:r>
            <w:r>
              <w:rPr>
                <w:sz w:val="18"/>
              </w:rPr>
              <w:t>la</w:t>
            </w:r>
            <w:r>
              <w:rPr>
                <w:spacing w:val="-4"/>
                <w:sz w:val="18"/>
              </w:rPr>
              <w:t> </w:t>
            </w:r>
            <w:r>
              <w:rPr>
                <w:sz w:val="18"/>
              </w:rPr>
              <w:t>difusión</w:t>
            </w:r>
            <w:r>
              <w:rPr>
                <w:spacing w:val="-4"/>
                <w:sz w:val="18"/>
              </w:rPr>
              <w:t> </w:t>
            </w:r>
            <w:r>
              <w:rPr>
                <w:sz w:val="18"/>
              </w:rPr>
              <w:t>de</w:t>
            </w:r>
            <w:r>
              <w:rPr>
                <w:spacing w:val="-6"/>
                <w:sz w:val="18"/>
              </w:rPr>
              <w:t> </w:t>
            </w:r>
            <w:r>
              <w:rPr>
                <w:sz w:val="18"/>
              </w:rPr>
              <w:t>la actividad física y del deporte</w:t>
            </w:r>
          </w:p>
        </w:tc>
        <w:tc>
          <w:tcPr>
            <w:tcW w:w="1238" w:type="dxa"/>
            <w:shd w:val="clear" w:color="auto" w:fill="FFFF00"/>
          </w:tcPr>
          <w:p>
            <w:pPr>
              <w:pStyle w:val="TableParagraph"/>
              <w:spacing w:before="135"/>
              <w:ind w:left="69"/>
              <w:rPr>
                <w:sz w:val="18"/>
              </w:rPr>
            </w:pPr>
            <w:r>
              <w:rPr>
                <w:spacing w:val="-2"/>
                <w:sz w:val="18"/>
              </w:rPr>
              <w:t>Competitiva</w:t>
            </w:r>
          </w:p>
        </w:tc>
        <w:tc>
          <w:tcPr>
            <w:tcW w:w="1442" w:type="dxa"/>
            <w:shd w:val="clear" w:color="auto" w:fill="FFFF00"/>
          </w:tcPr>
          <w:p>
            <w:pPr>
              <w:pStyle w:val="TableParagraph"/>
              <w:spacing w:before="135"/>
              <w:ind w:left="17" w:right="9"/>
              <w:jc w:val="center"/>
              <w:rPr>
                <w:sz w:val="18"/>
              </w:rPr>
            </w:pPr>
            <w:r>
              <w:rPr>
                <w:spacing w:val="-2"/>
                <w:sz w:val="18"/>
              </w:rPr>
              <w:t>340.48000</w:t>
            </w:r>
          </w:p>
        </w:tc>
        <w:tc>
          <w:tcPr>
            <w:tcW w:w="1360" w:type="dxa"/>
            <w:shd w:val="clear" w:color="auto" w:fill="99CC00"/>
          </w:tcPr>
          <w:p>
            <w:pPr>
              <w:pStyle w:val="TableParagraph"/>
              <w:spacing w:before="135"/>
              <w:ind w:right="55"/>
              <w:jc w:val="right"/>
              <w:rPr>
                <w:sz w:val="18"/>
              </w:rPr>
            </w:pPr>
            <w:r>
              <w:rPr>
                <w:spacing w:val="4"/>
                <w:w w:val="90"/>
                <w:sz w:val="18"/>
              </w:rPr>
              <w:t>100.000,00</w:t>
            </w:r>
            <w:r>
              <w:rPr>
                <w:spacing w:val="44"/>
                <w:sz w:val="18"/>
              </w:rPr>
              <w:t> </w:t>
            </w:r>
            <w:r>
              <w:rPr>
                <w:spacing w:val="-10"/>
                <w:w w:val="90"/>
                <w:sz w:val="18"/>
              </w:rPr>
              <w:t>€</w:t>
            </w:r>
          </w:p>
        </w:tc>
        <w:tc>
          <w:tcPr>
            <w:tcW w:w="1320" w:type="dxa"/>
          </w:tcPr>
          <w:p>
            <w:pPr>
              <w:pStyle w:val="TableParagraph"/>
              <w:spacing w:before="135"/>
              <w:ind w:right="55"/>
              <w:jc w:val="right"/>
              <w:rPr>
                <w:sz w:val="18"/>
              </w:rPr>
            </w:pPr>
            <w:r>
              <w:rPr>
                <w:spacing w:val="4"/>
                <w:w w:val="90"/>
                <w:sz w:val="18"/>
              </w:rPr>
              <w:t>100.000,00</w:t>
            </w:r>
            <w:r>
              <w:rPr>
                <w:spacing w:val="44"/>
                <w:sz w:val="18"/>
              </w:rPr>
              <w:t> </w:t>
            </w:r>
            <w:r>
              <w:rPr>
                <w:spacing w:val="-10"/>
                <w:w w:val="90"/>
                <w:sz w:val="18"/>
              </w:rPr>
              <w:t>€</w:t>
            </w:r>
          </w:p>
        </w:tc>
        <w:tc>
          <w:tcPr>
            <w:tcW w:w="659" w:type="dxa"/>
          </w:tcPr>
          <w:p>
            <w:pPr>
              <w:pStyle w:val="TableParagraph"/>
              <w:rPr>
                <w:rFonts w:ascii="Times New Roman"/>
                <w:sz w:val="18"/>
              </w:rPr>
            </w:pPr>
          </w:p>
        </w:tc>
        <w:tc>
          <w:tcPr>
            <w:tcW w:w="1120" w:type="dxa"/>
          </w:tcPr>
          <w:p>
            <w:pPr>
              <w:pStyle w:val="TableParagraph"/>
              <w:rPr>
                <w:rFonts w:ascii="Times New Roman"/>
                <w:sz w:val="18"/>
              </w:rPr>
            </w:pPr>
          </w:p>
        </w:tc>
      </w:tr>
      <w:tr>
        <w:trPr>
          <w:trHeight w:val="1655" w:hRule="atLeast"/>
        </w:trPr>
        <w:tc>
          <w:tcPr>
            <w:tcW w:w="1726" w:type="dxa"/>
            <w:shd w:val="clear" w:color="auto" w:fill="D9D9D9"/>
          </w:tcPr>
          <w:p>
            <w:pPr>
              <w:pStyle w:val="TableParagraph"/>
              <w:ind w:left="69"/>
              <w:rPr>
                <w:rFonts w:ascii="Arial" w:hAnsi="Arial"/>
                <w:b/>
                <w:sz w:val="18"/>
              </w:rPr>
            </w:pPr>
            <w:r>
              <w:rPr>
                <w:rFonts w:ascii="Arial" w:hAnsi="Arial"/>
                <w:b/>
                <w:spacing w:val="-2"/>
                <w:sz w:val="18"/>
              </w:rPr>
              <w:t>Participación ciudadana, </w:t>
            </w:r>
            <w:r>
              <w:rPr>
                <w:rFonts w:ascii="Arial" w:hAnsi="Arial"/>
                <w:b/>
                <w:sz w:val="18"/>
              </w:rPr>
              <w:t>asociaciones de vecinos,</w:t>
            </w:r>
            <w:r>
              <w:rPr>
                <w:rFonts w:ascii="Arial" w:hAnsi="Arial"/>
                <w:b/>
                <w:spacing w:val="-15"/>
                <w:sz w:val="18"/>
              </w:rPr>
              <w:t> </w:t>
            </w:r>
            <w:r>
              <w:rPr>
                <w:rFonts w:ascii="Arial" w:hAnsi="Arial"/>
                <w:b/>
                <w:sz w:val="18"/>
              </w:rPr>
              <w:t>barrios</w:t>
            </w:r>
            <w:r>
              <w:rPr>
                <w:rFonts w:ascii="Arial" w:hAnsi="Arial"/>
                <w:b/>
                <w:spacing w:val="-12"/>
                <w:sz w:val="18"/>
              </w:rPr>
              <w:t> </w:t>
            </w:r>
            <w:r>
              <w:rPr>
                <w:rFonts w:ascii="Arial" w:hAnsi="Arial"/>
                <w:b/>
                <w:sz w:val="18"/>
              </w:rPr>
              <w:t>y playas + Prevención de adicciones (OA</w:t>
            </w:r>
          </w:p>
          <w:p>
            <w:pPr>
              <w:pStyle w:val="TableParagraph"/>
              <w:spacing w:line="187" w:lineRule="exact"/>
              <w:ind w:left="69"/>
              <w:rPr>
                <w:rFonts w:ascii="Arial" w:hAnsi="Arial"/>
                <w:b/>
                <w:sz w:val="18"/>
              </w:rPr>
            </w:pPr>
            <w:r>
              <w:rPr>
                <w:rFonts w:ascii="Arial" w:hAnsi="Arial"/>
                <w:b/>
                <w:spacing w:val="-2"/>
                <w:sz w:val="18"/>
              </w:rPr>
              <w:t>Toxicomanías)</w:t>
            </w:r>
          </w:p>
        </w:tc>
        <w:tc>
          <w:tcPr>
            <w:tcW w:w="5273" w:type="dxa"/>
            <w:shd w:val="clear" w:color="auto" w:fill="D9D9D9"/>
          </w:tcPr>
          <w:p>
            <w:pPr>
              <w:pStyle w:val="TableParagraph"/>
              <w:rPr>
                <w:rFonts w:ascii="Times New Roman"/>
                <w:sz w:val="18"/>
              </w:rPr>
            </w:pPr>
          </w:p>
        </w:tc>
        <w:tc>
          <w:tcPr>
            <w:tcW w:w="1238" w:type="dxa"/>
            <w:shd w:val="clear" w:color="auto" w:fill="D9D9D9"/>
          </w:tcPr>
          <w:p>
            <w:pPr>
              <w:pStyle w:val="TableParagraph"/>
              <w:rPr>
                <w:rFonts w:ascii="Times New Roman"/>
                <w:sz w:val="18"/>
              </w:rPr>
            </w:pPr>
          </w:p>
        </w:tc>
        <w:tc>
          <w:tcPr>
            <w:tcW w:w="1442" w:type="dxa"/>
            <w:shd w:val="clear" w:color="auto" w:fill="D9D9D9"/>
          </w:tcPr>
          <w:p>
            <w:pPr>
              <w:pStyle w:val="TableParagraph"/>
              <w:rPr>
                <w:rFonts w:ascii="Times New Roman"/>
                <w:sz w:val="18"/>
              </w:rPr>
            </w:pPr>
          </w:p>
        </w:tc>
        <w:tc>
          <w:tcPr>
            <w:tcW w:w="1360" w:type="dxa"/>
            <w:shd w:val="clear" w:color="auto" w:fill="D9D9D9"/>
          </w:tcPr>
          <w:p>
            <w:pPr>
              <w:pStyle w:val="TableParagraph"/>
              <w:rPr>
                <w:rFonts w:ascii="Verdana"/>
                <w:sz w:val="18"/>
              </w:rPr>
            </w:pPr>
          </w:p>
          <w:p>
            <w:pPr>
              <w:pStyle w:val="TableParagraph"/>
              <w:rPr>
                <w:rFonts w:ascii="Verdana"/>
                <w:sz w:val="18"/>
              </w:rPr>
            </w:pPr>
          </w:p>
          <w:p>
            <w:pPr>
              <w:pStyle w:val="TableParagraph"/>
              <w:spacing w:before="67"/>
              <w:rPr>
                <w:rFonts w:ascii="Verdana"/>
                <w:sz w:val="18"/>
              </w:rPr>
            </w:pPr>
          </w:p>
          <w:p>
            <w:pPr>
              <w:pStyle w:val="TableParagraph"/>
              <w:ind w:right="54"/>
              <w:jc w:val="right"/>
              <w:rPr>
                <w:rFonts w:ascii="Arial" w:hAnsi="Arial"/>
                <w:b/>
                <w:sz w:val="18"/>
              </w:rPr>
            </w:pPr>
            <w:r>
              <w:rPr>
                <w:rFonts w:ascii="Arial" w:hAnsi="Arial"/>
                <w:b/>
                <w:sz w:val="18"/>
              </w:rPr>
              <w:t>80.000,00</w:t>
            </w:r>
            <w:r>
              <w:rPr>
                <w:rFonts w:ascii="Arial" w:hAnsi="Arial"/>
                <w:b/>
                <w:spacing w:val="-8"/>
                <w:sz w:val="18"/>
              </w:rPr>
              <w:t> </w:t>
            </w:r>
            <w:r>
              <w:rPr>
                <w:rFonts w:ascii="Arial" w:hAnsi="Arial"/>
                <w:b/>
                <w:spacing w:val="-10"/>
                <w:sz w:val="18"/>
              </w:rPr>
              <w:t>€</w:t>
            </w:r>
          </w:p>
        </w:tc>
        <w:tc>
          <w:tcPr>
            <w:tcW w:w="1320" w:type="dxa"/>
            <w:shd w:val="clear" w:color="auto" w:fill="D9D9D9"/>
          </w:tcPr>
          <w:p>
            <w:pPr>
              <w:pStyle w:val="TableParagraph"/>
              <w:rPr>
                <w:rFonts w:ascii="Verdana"/>
                <w:sz w:val="18"/>
              </w:rPr>
            </w:pPr>
          </w:p>
          <w:p>
            <w:pPr>
              <w:pStyle w:val="TableParagraph"/>
              <w:rPr>
                <w:rFonts w:ascii="Verdana"/>
                <w:sz w:val="18"/>
              </w:rPr>
            </w:pPr>
          </w:p>
          <w:p>
            <w:pPr>
              <w:pStyle w:val="TableParagraph"/>
              <w:spacing w:before="67"/>
              <w:rPr>
                <w:rFonts w:ascii="Verdana"/>
                <w:sz w:val="18"/>
              </w:rPr>
            </w:pPr>
          </w:p>
          <w:p>
            <w:pPr>
              <w:pStyle w:val="TableParagraph"/>
              <w:ind w:right="54"/>
              <w:jc w:val="right"/>
              <w:rPr>
                <w:rFonts w:ascii="Arial" w:hAnsi="Arial"/>
                <w:b/>
                <w:sz w:val="18"/>
              </w:rPr>
            </w:pPr>
            <w:r>
              <w:rPr>
                <w:rFonts w:ascii="Arial" w:hAnsi="Arial"/>
                <w:b/>
                <w:sz w:val="18"/>
              </w:rPr>
              <w:t>80.000,00</w:t>
            </w:r>
            <w:r>
              <w:rPr>
                <w:rFonts w:ascii="Arial" w:hAnsi="Arial"/>
                <w:b/>
                <w:spacing w:val="-8"/>
                <w:sz w:val="18"/>
              </w:rPr>
              <w:t> </w:t>
            </w:r>
            <w:r>
              <w:rPr>
                <w:rFonts w:ascii="Arial" w:hAnsi="Arial"/>
                <w:b/>
                <w:spacing w:val="-10"/>
                <w:sz w:val="18"/>
              </w:rPr>
              <w:t>€</w:t>
            </w:r>
          </w:p>
        </w:tc>
        <w:tc>
          <w:tcPr>
            <w:tcW w:w="659" w:type="dxa"/>
            <w:shd w:val="clear" w:color="auto" w:fill="D9D9D9"/>
          </w:tcPr>
          <w:p>
            <w:pPr>
              <w:pStyle w:val="TableParagraph"/>
              <w:rPr>
                <w:rFonts w:ascii="Verdana"/>
                <w:sz w:val="18"/>
              </w:rPr>
            </w:pPr>
          </w:p>
          <w:p>
            <w:pPr>
              <w:pStyle w:val="TableParagraph"/>
              <w:rPr>
                <w:rFonts w:ascii="Verdana"/>
                <w:sz w:val="18"/>
              </w:rPr>
            </w:pPr>
          </w:p>
          <w:p>
            <w:pPr>
              <w:pStyle w:val="TableParagraph"/>
              <w:spacing w:before="67"/>
              <w:rPr>
                <w:rFonts w:ascii="Verdana"/>
                <w:sz w:val="18"/>
              </w:rPr>
            </w:pPr>
          </w:p>
          <w:p>
            <w:pPr>
              <w:pStyle w:val="TableParagraph"/>
              <w:ind w:left="46" w:right="10"/>
              <w:jc w:val="center"/>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c>
          <w:tcPr>
            <w:tcW w:w="1120" w:type="dxa"/>
            <w:shd w:val="clear" w:color="auto" w:fill="D9D9D9"/>
          </w:tcPr>
          <w:p>
            <w:pPr>
              <w:pStyle w:val="TableParagraph"/>
              <w:rPr>
                <w:rFonts w:ascii="Verdana"/>
                <w:sz w:val="18"/>
              </w:rPr>
            </w:pPr>
          </w:p>
          <w:p>
            <w:pPr>
              <w:pStyle w:val="TableParagraph"/>
              <w:rPr>
                <w:rFonts w:ascii="Verdana"/>
                <w:sz w:val="18"/>
              </w:rPr>
            </w:pPr>
          </w:p>
          <w:p>
            <w:pPr>
              <w:pStyle w:val="TableParagraph"/>
              <w:spacing w:before="67"/>
              <w:rPr>
                <w:rFonts w:ascii="Verdana"/>
                <w:sz w:val="18"/>
              </w:rPr>
            </w:pPr>
          </w:p>
          <w:p>
            <w:pPr>
              <w:pStyle w:val="TableParagraph"/>
              <w:ind w:right="52"/>
              <w:jc w:val="right"/>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r>
      <w:tr>
        <w:trPr>
          <w:trHeight w:val="412" w:hRule="atLeast"/>
        </w:trPr>
        <w:tc>
          <w:tcPr>
            <w:tcW w:w="1726" w:type="dxa"/>
            <w:shd w:val="clear" w:color="auto" w:fill="FFFF00"/>
          </w:tcPr>
          <w:p>
            <w:pPr>
              <w:pStyle w:val="TableParagraph"/>
              <w:rPr>
                <w:rFonts w:ascii="Times New Roman"/>
                <w:sz w:val="18"/>
              </w:rPr>
            </w:pPr>
          </w:p>
        </w:tc>
        <w:tc>
          <w:tcPr>
            <w:tcW w:w="5273" w:type="dxa"/>
            <w:shd w:val="clear" w:color="auto" w:fill="FFFF00"/>
          </w:tcPr>
          <w:p>
            <w:pPr>
              <w:pStyle w:val="TableParagraph"/>
              <w:spacing w:line="206" w:lineRule="exact"/>
              <w:ind w:left="69" w:right="165"/>
              <w:rPr>
                <w:sz w:val="18"/>
              </w:rPr>
            </w:pPr>
            <w:r>
              <w:rPr>
                <w:sz w:val="18"/>
              </w:rPr>
              <w:t>Ayudas</w:t>
            </w:r>
            <w:r>
              <w:rPr>
                <w:spacing w:val="-6"/>
                <w:sz w:val="18"/>
              </w:rPr>
              <w:t> </w:t>
            </w:r>
            <w:r>
              <w:rPr>
                <w:sz w:val="18"/>
              </w:rPr>
              <w:t>y</w:t>
            </w:r>
            <w:r>
              <w:rPr>
                <w:spacing w:val="-7"/>
                <w:sz w:val="18"/>
              </w:rPr>
              <w:t> </w:t>
            </w:r>
            <w:r>
              <w:rPr>
                <w:sz w:val="18"/>
              </w:rPr>
              <w:t>subvenciones</w:t>
            </w:r>
            <w:r>
              <w:rPr>
                <w:spacing w:val="-6"/>
                <w:sz w:val="18"/>
              </w:rPr>
              <w:t> </w:t>
            </w:r>
            <w:r>
              <w:rPr>
                <w:sz w:val="18"/>
              </w:rPr>
              <w:t>para</w:t>
            </w:r>
            <w:r>
              <w:rPr>
                <w:spacing w:val="-6"/>
                <w:sz w:val="18"/>
              </w:rPr>
              <w:t> </w:t>
            </w:r>
            <w:r>
              <w:rPr>
                <w:sz w:val="18"/>
              </w:rPr>
              <w:t>las</w:t>
            </w:r>
            <w:r>
              <w:rPr>
                <w:spacing w:val="-6"/>
                <w:sz w:val="18"/>
              </w:rPr>
              <w:t> </w:t>
            </w:r>
            <w:r>
              <w:rPr>
                <w:sz w:val="18"/>
              </w:rPr>
              <w:t>ascociaciones</w:t>
            </w:r>
            <w:r>
              <w:rPr>
                <w:spacing w:val="-6"/>
                <w:sz w:val="18"/>
              </w:rPr>
              <w:t> </w:t>
            </w:r>
            <w:r>
              <w:rPr>
                <w:sz w:val="18"/>
              </w:rPr>
              <w:t>vecinales</w:t>
            </w:r>
            <w:r>
              <w:rPr>
                <w:spacing w:val="-7"/>
                <w:sz w:val="18"/>
              </w:rPr>
              <w:t> </w:t>
            </w:r>
            <w:r>
              <w:rPr>
                <w:sz w:val="18"/>
              </w:rPr>
              <w:t>y </w:t>
            </w:r>
            <w:r>
              <w:rPr>
                <w:spacing w:val="-2"/>
                <w:sz w:val="18"/>
              </w:rPr>
              <w:t>otras</w:t>
            </w:r>
          </w:p>
        </w:tc>
        <w:tc>
          <w:tcPr>
            <w:tcW w:w="1238" w:type="dxa"/>
            <w:shd w:val="clear" w:color="auto" w:fill="FFFF00"/>
          </w:tcPr>
          <w:p>
            <w:pPr>
              <w:pStyle w:val="TableParagraph"/>
              <w:spacing w:before="102"/>
              <w:ind w:left="69"/>
              <w:rPr>
                <w:sz w:val="18"/>
              </w:rPr>
            </w:pPr>
            <w:r>
              <w:rPr>
                <w:spacing w:val="-2"/>
                <w:sz w:val="18"/>
              </w:rPr>
              <w:t>Competitiva</w:t>
            </w:r>
          </w:p>
        </w:tc>
        <w:tc>
          <w:tcPr>
            <w:tcW w:w="1442" w:type="dxa"/>
            <w:shd w:val="clear" w:color="auto" w:fill="FFFF00"/>
          </w:tcPr>
          <w:p>
            <w:pPr>
              <w:pStyle w:val="TableParagraph"/>
              <w:spacing w:before="102"/>
              <w:ind w:left="17" w:right="9"/>
              <w:jc w:val="center"/>
              <w:rPr>
                <w:sz w:val="18"/>
              </w:rPr>
            </w:pPr>
            <w:r>
              <w:rPr>
                <w:spacing w:val="-2"/>
                <w:sz w:val="18"/>
              </w:rPr>
              <w:t>924.48000</w:t>
            </w:r>
          </w:p>
        </w:tc>
        <w:tc>
          <w:tcPr>
            <w:tcW w:w="1360" w:type="dxa"/>
            <w:shd w:val="clear" w:color="auto" w:fill="99CC00"/>
          </w:tcPr>
          <w:p>
            <w:pPr>
              <w:pStyle w:val="TableParagraph"/>
              <w:spacing w:before="102"/>
              <w:ind w:right="54"/>
              <w:jc w:val="right"/>
              <w:rPr>
                <w:sz w:val="18"/>
              </w:rPr>
            </w:pPr>
            <w:r>
              <w:rPr>
                <w:spacing w:val="4"/>
                <w:w w:val="90"/>
                <w:sz w:val="18"/>
              </w:rPr>
              <w:t>80.000,00</w:t>
            </w:r>
            <w:r>
              <w:rPr>
                <w:spacing w:val="38"/>
                <w:sz w:val="18"/>
              </w:rPr>
              <w:t> </w:t>
            </w:r>
            <w:r>
              <w:rPr>
                <w:spacing w:val="-10"/>
                <w:w w:val="90"/>
                <w:sz w:val="18"/>
              </w:rPr>
              <w:t>€</w:t>
            </w:r>
          </w:p>
        </w:tc>
        <w:tc>
          <w:tcPr>
            <w:tcW w:w="1320" w:type="dxa"/>
          </w:tcPr>
          <w:p>
            <w:pPr>
              <w:pStyle w:val="TableParagraph"/>
              <w:spacing w:before="102"/>
              <w:ind w:right="54"/>
              <w:jc w:val="right"/>
              <w:rPr>
                <w:sz w:val="18"/>
              </w:rPr>
            </w:pPr>
            <w:r>
              <w:rPr>
                <w:spacing w:val="4"/>
                <w:w w:val="90"/>
                <w:sz w:val="18"/>
              </w:rPr>
              <w:t>80.000,00</w:t>
            </w:r>
            <w:r>
              <w:rPr>
                <w:spacing w:val="38"/>
                <w:sz w:val="18"/>
              </w:rPr>
              <w:t> </w:t>
            </w:r>
            <w:r>
              <w:rPr>
                <w:spacing w:val="-10"/>
                <w:w w:val="90"/>
                <w:sz w:val="18"/>
              </w:rPr>
              <w:t>€</w:t>
            </w:r>
          </w:p>
        </w:tc>
        <w:tc>
          <w:tcPr>
            <w:tcW w:w="659" w:type="dxa"/>
          </w:tcPr>
          <w:p>
            <w:pPr>
              <w:pStyle w:val="TableParagraph"/>
              <w:rPr>
                <w:rFonts w:ascii="Times New Roman"/>
                <w:sz w:val="18"/>
              </w:rPr>
            </w:pPr>
          </w:p>
        </w:tc>
        <w:tc>
          <w:tcPr>
            <w:tcW w:w="1120" w:type="dxa"/>
          </w:tcPr>
          <w:p>
            <w:pPr>
              <w:pStyle w:val="TableParagraph"/>
              <w:rPr>
                <w:rFonts w:ascii="Times New Roman"/>
                <w:sz w:val="18"/>
              </w:rPr>
            </w:pPr>
          </w:p>
        </w:tc>
      </w:tr>
      <w:tr>
        <w:trPr>
          <w:trHeight w:val="621" w:hRule="atLeast"/>
        </w:trPr>
        <w:tc>
          <w:tcPr>
            <w:tcW w:w="1726" w:type="dxa"/>
            <w:shd w:val="clear" w:color="auto" w:fill="D9D9D9"/>
          </w:tcPr>
          <w:p>
            <w:pPr>
              <w:pStyle w:val="TableParagraph"/>
              <w:spacing w:line="206" w:lineRule="exact"/>
              <w:ind w:left="69"/>
              <w:rPr>
                <w:rFonts w:ascii="Arial" w:hAnsi="Arial"/>
                <w:b/>
                <w:sz w:val="18"/>
              </w:rPr>
            </w:pPr>
            <w:r>
              <w:rPr>
                <w:rFonts w:ascii="Arial" w:hAnsi="Arial"/>
                <w:b/>
                <w:sz w:val="18"/>
              </w:rPr>
              <w:t>Vivienda,</w:t>
            </w:r>
            <w:r>
              <w:rPr>
                <w:rFonts w:ascii="Arial" w:hAnsi="Arial"/>
                <w:b/>
                <w:spacing w:val="-15"/>
                <w:sz w:val="18"/>
              </w:rPr>
              <w:t> </w:t>
            </w:r>
            <w:r>
              <w:rPr>
                <w:rFonts w:ascii="Arial" w:hAnsi="Arial"/>
                <w:b/>
                <w:sz w:val="18"/>
              </w:rPr>
              <w:t>vías</w:t>
            </w:r>
            <w:r>
              <w:rPr>
                <w:rFonts w:ascii="Arial" w:hAnsi="Arial"/>
                <w:b/>
                <w:spacing w:val="-12"/>
                <w:sz w:val="18"/>
              </w:rPr>
              <w:t> </w:t>
            </w:r>
            <w:r>
              <w:rPr>
                <w:rFonts w:ascii="Arial" w:hAnsi="Arial"/>
                <w:b/>
                <w:sz w:val="18"/>
              </w:rPr>
              <w:t>y obras y </w:t>
            </w:r>
            <w:r>
              <w:rPr>
                <w:rFonts w:ascii="Arial" w:hAnsi="Arial"/>
                <w:b/>
                <w:spacing w:val="-2"/>
                <w:sz w:val="18"/>
              </w:rPr>
              <w:t>alcantarillado</w:t>
            </w:r>
          </w:p>
        </w:tc>
        <w:tc>
          <w:tcPr>
            <w:tcW w:w="5273" w:type="dxa"/>
            <w:shd w:val="clear" w:color="auto" w:fill="D9D9D9"/>
          </w:tcPr>
          <w:p>
            <w:pPr>
              <w:pStyle w:val="TableParagraph"/>
              <w:rPr>
                <w:rFonts w:ascii="Times New Roman"/>
                <w:sz w:val="18"/>
              </w:rPr>
            </w:pPr>
          </w:p>
        </w:tc>
        <w:tc>
          <w:tcPr>
            <w:tcW w:w="1238" w:type="dxa"/>
            <w:shd w:val="clear" w:color="auto" w:fill="D9D9D9"/>
          </w:tcPr>
          <w:p>
            <w:pPr>
              <w:pStyle w:val="TableParagraph"/>
              <w:rPr>
                <w:rFonts w:ascii="Times New Roman"/>
                <w:sz w:val="18"/>
              </w:rPr>
            </w:pPr>
          </w:p>
        </w:tc>
        <w:tc>
          <w:tcPr>
            <w:tcW w:w="1442" w:type="dxa"/>
            <w:shd w:val="clear" w:color="auto" w:fill="D9D9D9"/>
          </w:tcPr>
          <w:p>
            <w:pPr>
              <w:pStyle w:val="TableParagraph"/>
              <w:rPr>
                <w:rFonts w:ascii="Times New Roman"/>
                <w:sz w:val="18"/>
              </w:rPr>
            </w:pPr>
          </w:p>
        </w:tc>
        <w:tc>
          <w:tcPr>
            <w:tcW w:w="1360" w:type="dxa"/>
            <w:shd w:val="clear" w:color="auto" w:fill="D9D9D9"/>
          </w:tcPr>
          <w:p>
            <w:pPr>
              <w:pStyle w:val="TableParagraph"/>
              <w:spacing w:before="208"/>
              <w:ind w:right="54"/>
              <w:jc w:val="right"/>
              <w:rPr>
                <w:rFonts w:ascii="Arial" w:hAnsi="Arial"/>
                <w:b/>
                <w:sz w:val="18"/>
              </w:rPr>
            </w:pPr>
            <w:r>
              <w:rPr>
                <w:rFonts w:ascii="Arial" w:hAnsi="Arial"/>
                <w:b/>
                <w:sz w:val="18"/>
              </w:rPr>
              <w:t>15.000,00</w:t>
            </w:r>
            <w:r>
              <w:rPr>
                <w:rFonts w:ascii="Arial" w:hAnsi="Arial"/>
                <w:b/>
                <w:spacing w:val="-8"/>
                <w:sz w:val="18"/>
              </w:rPr>
              <w:t> </w:t>
            </w:r>
            <w:r>
              <w:rPr>
                <w:rFonts w:ascii="Arial" w:hAnsi="Arial"/>
                <w:b/>
                <w:spacing w:val="-10"/>
                <w:sz w:val="18"/>
              </w:rPr>
              <w:t>€</w:t>
            </w:r>
          </w:p>
        </w:tc>
        <w:tc>
          <w:tcPr>
            <w:tcW w:w="1320" w:type="dxa"/>
            <w:shd w:val="clear" w:color="auto" w:fill="D9D9D9"/>
          </w:tcPr>
          <w:p>
            <w:pPr>
              <w:pStyle w:val="TableParagraph"/>
              <w:spacing w:before="208"/>
              <w:ind w:right="54"/>
              <w:jc w:val="right"/>
              <w:rPr>
                <w:rFonts w:ascii="Arial" w:hAnsi="Arial"/>
                <w:b/>
                <w:sz w:val="18"/>
              </w:rPr>
            </w:pPr>
            <w:r>
              <w:rPr>
                <w:rFonts w:ascii="Arial" w:hAnsi="Arial"/>
                <w:b/>
                <w:sz w:val="18"/>
              </w:rPr>
              <w:t>15.000,00</w:t>
            </w:r>
            <w:r>
              <w:rPr>
                <w:rFonts w:ascii="Arial" w:hAnsi="Arial"/>
                <w:b/>
                <w:spacing w:val="-8"/>
                <w:sz w:val="18"/>
              </w:rPr>
              <w:t> </w:t>
            </w:r>
            <w:r>
              <w:rPr>
                <w:rFonts w:ascii="Arial" w:hAnsi="Arial"/>
                <w:b/>
                <w:spacing w:val="-10"/>
                <w:sz w:val="18"/>
              </w:rPr>
              <w:t>€</w:t>
            </w:r>
          </w:p>
        </w:tc>
        <w:tc>
          <w:tcPr>
            <w:tcW w:w="659" w:type="dxa"/>
            <w:shd w:val="clear" w:color="auto" w:fill="D9D9D9"/>
          </w:tcPr>
          <w:p>
            <w:pPr>
              <w:pStyle w:val="TableParagraph"/>
              <w:spacing w:before="208"/>
              <w:ind w:left="46" w:right="10"/>
              <w:jc w:val="center"/>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c>
          <w:tcPr>
            <w:tcW w:w="1120" w:type="dxa"/>
            <w:shd w:val="clear" w:color="auto" w:fill="D9D9D9"/>
          </w:tcPr>
          <w:p>
            <w:pPr>
              <w:pStyle w:val="TableParagraph"/>
              <w:spacing w:before="208"/>
              <w:ind w:right="52"/>
              <w:jc w:val="right"/>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r>
    </w:tbl>
    <w:p>
      <w:pPr>
        <w:spacing w:after="0"/>
        <w:jc w:val="right"/>
        <w:rPr>
          <w:rFonts w:ascii="Arial" w:hAnsi="Arial"/>
          <w:sz w:val="18"/>
        </w:rPr>
        <w:sectPr>
          <w:pgSz w:w="16840" w:h="11910" w:orient="landscape"/>
          <w:pgMar w:header="638" w:footer="825" w:top="2340" w:bottom="1020" w:left="1220" w:right="1220"/>
        </w:sectPr>
      </w:pPr>
    </w:p>
    <w:p>
      <w:pPr>
        <w:pStyle w:val="BodyText"/>
        <w:spacing w:before="3"/>
        <w:rPr>
          <w:sz w:val="14"/>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6"/>
        <w:gridCol w:w="5273"/>
        <w:gridCol w:w="1238"/>
        <w:gridCol w:w="1442"/>
        <w:gridCol w:w="1360"/>
        <w:gridCol w:w="1320"/>
        <w:gridCol w:w="659"/>
        <w:gridCol w:w="1120"/>
      </w:tblGrid>
      <w:tr>
        <w:trPr>
          <w:trHeight w:val="479" w:hRule="atLeast"/>
        </w:trPr>
        <w:tc>
          <w:tcPr>
            <w:tcW w:w="1726" w:type="dxa"/>
            <w:tcBorders>
              <w:top w:val="nil"/>
            </w:tcBorders>
            <w:shd w:val="clear" w:color="auto" w:fill="FFFF00"/>
          </w:tcPr>
          <w:p>
            <w:pPr>
              <w:pStyle w:val="TableParagraph"/>
              <w:rPr>
                <w:rFonts w:ascii="Times New Roman"/>
                <w:sz w:val="18"/>
              </w:rPr>
            </w:pPr>
          </w:p>
        </w:tc>
        <w:tc>
          <w:tcPr>
            <w:tcW w:w="5273" w:type="dxa"/>
            <w:tcBorders>
              <w:top w:val="nil"/>
            </w:tcBorders>
            <w:shd w:val="clear" w:color="auto" w:fill="FFFF00"/>
          </w:tcPr>
          <w:p>
            <w:pPr>
              <w:pStyle w:val="TableParagraph"/>
              <w:spacing w:before="32"/>
              <w:ind w:left="69"/>
              <w:rPr>
                <w:sz w:val="18"/>
              </w:rPr>
            </w:pPr>
            <w:r>
              <w:rPr>
                <w:sz w:val="18"/>
              </w:rPr>
              <w:t>Ayudas</w:t>
            </w:r>
            <w:r>
              <w:rPr>
                <w:spacing w:val="-4"/>
                <w:sz w:val="18"/>
              </w:rPr>
              <w:t> </w:t>
            </w:r>
            <w:r>
              <w:rPr>
                <w:sz w:val="18"/>
              </w:rPr>
              <w:t>para</w:t>
            </w:r>
            <w:r>
              <w:rPr>
                <w:spacing w:val="-6"/>
                <w:sz w:val="18"/>
              </w:rPr>
              <w:t> </w:t>
            </w:r>
            <w:r>
              <w:rPr>
                <w:sz w:val="18"/>
              </w:rPr>
              <w:t>reparación</w:t>
            </w:r>
            <w:r>
              <w:rPr>
                <w:spacing w:val="-6"/>
                <w:sz w:val="18"/>
              </w:rPr>
              <w:t> </w:t>
            </w:r>
            <w:r>
              <w:rPr>
                <w:sz w:val="18"/>
              </w:rPr>
              <w:t>de</w:t>
            </w:r>
            <w:r>
              <w:rPr>
                <w:spacing w:val="-8"/>
                <w:sz w:val="18"/>
              </w:rPr>
              <w:t> </w:t>
            </w:r>
            <w:r>
              <w:rPr>
                <w:sz w:val="18"/>
              </w:rPr>
              <w:t>viviendas</w:t>
            </w:r>
            <w:r>
              <w:rPr>
                <w:spacing w:val="-5"/>
                <w:sz w:val="18"/>
              </w:rPr>
              <w:t> </w:t>
            </w:r>
            <w:r>
              <w:rPr>
                <w:sz w:val="18"/>
              </w:rPr>
              <w:t>a</w:t>
            </w:r>
            <w:r>
              <w:rPr>
                <w:spacing w:val="-8"/>
                <w:sz w:val="18"/>
              </w:rPr>
              <w:t> </w:t>
            </w:r>
            <w:r>
              <w:rPr>
                <w:sz w:val="18"/>
              </w:rPr>
              <w:t>personas</w:t>
            </w:r>
            <w:r>
              <w:rPr>
                <w:spacing w:val="-5"/>
                <w:sz w:val="18"/>
              </w:rPr>
              <w:t> </w:t>
            </w:r>
            <w:r>
              <w:rPr>
                <w:sz w:val="18"/>
              </w:rPr>
              <w:t>en</w:t>
            </w:r>
            <w:r>
              <w:rPr>
                <w:spacing w:val="-6"/>
                <w:sz w:val="18"/>
              </w:rPr>
              <w:t> </w:t>
            </w:r>
            <w:r>
              <w:rPr>
                <w:sz w:val="18"/>
              </w:rPr>
              <w:t>situación emergencia social</w:t>
            </w:r>
          </w:p>
        </w:tc>
        <w:tc>
          <w:tcPr>
            <w:tcW w:w="1238" w:type="dxa"/>
            <w:tcBorders>
              <w:top w:val="nil"/>
            </w:tcBorders>
            <w:shd w:val="clear" w:color="auto" w:fill="FFFF00"/>
          </w:tcPr>
          <w:p>
            <w:pPr>
              <w:pStyle w:val="TableParagraph"/>
              <w:spacing w:before="136"/>
              <w:ind w:left="69"/>
              <w:rPr>
                <w:sz w:val="18"/>
              </w:rPr>
            </w:pPr>
            <w:r>
              <w:rPr>
                <w:spacing w:val="-2"/>
                <w:sz w:val="18"/>
              </w:rPr>
              <w:t>Nominativa</w:t>
            </w:r>
          </w:p>
        </w:tc>
        <w:tc>
          <w:tcPr>
            <w:tcW w:w="1442" w:type="dxa"/>
            <w:tcBorders>
              <w:top w:val="nil"/>
            </w:tcBorders>
            <w:shd w:val="clear" w:color="auto" w:fill="FFFF00"/>
          </w:tcPr>
          <w:p>
            <w:pPr>
              <w:pStyle w:val="TableParagraph"/>
              <w:spacing w:before="136"/>
              <w:ind w:left="17" w:right="9"/>
              <w:jc w:val="center"/>
              <w:rPr>
                <w:sz w:val="18"/>
              </w:rPr>
            </w:pPr>
            <w:r>
              <w:rPr>
                <w:spacing w:val="-2"/>
                <w:sz w:val="18"/>
              </w:rPr>
              <w:t>150.48000</w:t>
            </w:r>
          </w:p>
        </w:tc>
        <w:tc>
          <w:tcPr>
            <w:tcW w:w="1360" w:type="dxa"/>
            <w:tcBorders>
              <w:top w:val="nil"/>
            </w:tcBorders>
            <w:shd w:val="clear" w:color="auto" w:fill="99CC00"/>
          </w:tcPr>
          <w:p>
            <w:pPr>
              <w:pStyle w:val="TableParagraph"/>
              <w:spacing w:before="136"/>
              <w:ind w:right="54"/>
              <w:jc w:val="right"/>
              <w:rPr>
                <w:sz w:val="18"/>
              </w:rPr>
            </w:pPr>
            <w:r>
              <w:rPr>
                <w:spacing w:val="4"/>
                <w:w w:val="90"/>
                <w:sz w:val="18"/>
              </w:rPr>
              <w:t>15.000,00</w:t>
            </w:r>
            <w:r>
              <w:rPr>
                <w:spacing w:val="38"/>
                <w:sz w:val="18"/>
              </w:rPr>
              <w:t> </w:t>
            </w:r>
            <w:r>
              <w:rPr>
                <w:spacing w:val="-10"/>
                <w:w w:val="90"/>
                <w:sz w:val="18"/>
              </w:rPr>
              <w:t>€</w:t>
            </w:r>
          </w:p>
        </w:tc>
        <w:tc>
          <w:tcPr>
            <w:tcW w:w="1320" w:type="dxa"/>
            <w:tcBorders>
              <w:top w:val="nil"/>
            </w:tcBorders>
          </w:tcPr>
          <w:p>
            <w:pPr>
              <w:pStyle w:val="TableParagraph"/>
              <w:spacing w:before="136"/>
              <w:ind w:right="54"/>
              <w:jc w:val="right"/>
              <w:rPr>
                <w:sz w:val="18"/>
              </w:rPr>
            </w:pPr>
            <w:r>
              <w:rPr>
                <w:spacing w:val="4"/>
                <w:w w:val="90"/>
                <w:sz w:val="18"/>
              </w:rPr>
              <w:t>15.000,00</w:t>
            </w:r>
            <w:r>
              <w:rPr>
                <w:spacing w:val="38"/>
                <w:sz w:val="18"/>
              </w:rPr>
              <w:t> </w:t>
            </w:r>
            <w:r>
              <w:rPr>
                <w:spacing w:val="-10"/>
                <w:w w:val="90"/>
                <w:sz w:val="18"/>
              </w:rPr>
              <w:t>€</w:t>
            </w:r>
          </w:p>
        </w:tc>
        <w:tc>
          <w:tcPr>
            <w:tcW w:w="659" w:type="dxa"/>
            <w:tcBorders>
              <w:top w:val="nil"/>
            </w:tcBorders>
          </w:tcPr>
          <w:p>
            <w:pPr>
              <w:pStyle w:val="TableParagraph"/>
              <w:rPr>
                <w:rFonts w:ascii="Times New Roman"/>
                <w:sz w:val="18"/>
              </w:rPr>
            </w:pPr>
          </w:p>
        </w:tc>
        <w:tc>
          <w:tcPr>
            <w:tcW w:w="1120" w:type="dxa"/>
            <w:tcBorders>
              <w:top w:val="nil"/>
            </w:tcBorders>
          </w:tcPr>
          <w:p>
            <w:pPr>
              <w:pStyle w:val="TableParagraph"/>
              <w:rPr>
                <w:rFonts w:ascii="Times New Roman"/>
                <w:sz w:val="18"/>
              </w:rPr>
            </w:pPr>
          </w:p>
        </w:tc>
      </w:tr>
      <w:tr>
        <w:trPr>
          <w:trHeight w:val="1243" w:hRule="atLeast"/>
        </w:trPr>
        <w:tc>
          <w:tcPr>
            <w:tcW w:w="1726" w:type="dxa"/>
            <w:shd w:val="clear" w:color="auto" w:fill="D9D9D9"/>
          </w:tcPr>
          <w:p>
            <w:pPr>
              <w:pStyle w:val="TableParagraph"/>
              <w:spacing w:before="1"/>
              <w:ind w:left="69" w:right="269"/>
              <w:rPr>
                <w:rFonts w:ascii="Arial" w:hAnsi="Arial"/>
                <w:b/>
                <w:sz w:val="18"/>
              </w:rPr>
            </w:pPr>
            <w:r>
              <w:rPr>
                <w:rFonts w:ascii="Arial" w:hAnsi="Arial"/>
                <w:b/>
                <w:spacing w:val="-2"/>
                <w:sz w:val="18"/>
              </w:rPr>
              <w:t>Tráfico, </w:t>
            </w:r>
            <w:r>
              <w:rPr>
                <w:rFonts w:ascii="Arial" w:hAnsi="Arial"/>
                <w:b/>
                <w:sz w:val="18"/>
              </w:rPr>
              <w:t>ordenación</w:t>
            </w:r>
            <w:r>
              <w:rPr>
                <w:rFonts w:ascii="Arial" w:hAnsi="Arial"/>
                <w:b/>
                <w:spacing w:val="-13"/>
                <w:sz w:val="18"/>
              </w:rPr>
              <w:t> </w:t>
            </w:r>
            <w:r>
              <w:rPr>
                <w:rFonts w:ascii="Arial" w:hAnsi="Arial"/>
                <w:b/>
                <w:sz w:val="18"/>
              </w:rPr>
              <w:t>vial, </w:t>
            </w:r>
            <w:r>
              <w:rPr>
                <w:rFonts w:ascii="Arial" w:hAnsi="Arial"/>
                <w:b/>
                <w:spacing w:val="-2"/>
                <w:sz w:val="18"/>
              </w:rPr>
              <w:t>emergencias, movilidad, </w:t>
            </w:r>
            <w:r>
              <w:rPr>
                <w:rFonts w:ascii="Arial" w:hAnsi="Arial"/>
                <w:b/>
                <w:sz w:val="18"/>
              </w:rPr>
              <w:t>transporte y</w:t>
            </w:r>
          </w:p>
          <w:p>
            <w:pPr>
              <w:pStyle w:val="TableParagraph"/>
              <w:spacing w:line="187" w:lineRule="exact"/>
              <w:ind w:left="69"/>
              <w:rPr>
                <w:rFonts w:ascii="Arial" w:hAnsi="Arial"/>
                <w:b/>
                <w:sz w:val="18"/>
              </w:rPr>
            </w:pPr>
            <w:r>
              <w:rPr>
                <w:rFonts w:ascii="Arial" w:hAnsi="Arial"/>
                <w:b/>
                <w:sz w:val="18"/>
              </w:rPr>
              <w:t>parque</w:t>
            </w:r>
            <w:r>
              <w:rPr>
                <w:rFonts w:ascii="Arial" w:hAnsi="Arial"/>
                <w:b/>
                <w:spacing w:val="-4"/>
                <w:sz w:val="18"/>
              </w:rPr>
              <w:t> </w:t>
            </w:r>
            <w:r>
              <w:rPr>
                <w:rFonts w:ascii="Arial" w:hAnsi="Arial"/>
                <w:b/>
                <w:spacing w:val="-2"/>
                <w:sz w:val="18"/>
              </w:rPr>
              <w:t>móvil</w:t>
            </w:r>
          </w:p>
        </w:tc>
        <w:tc>
          <w:tcPr>
            <w:tcW w:w="5273" w:type="dxa"/>
            <w:shd w:val="clear" w:color="auto" w:fill="D9D9D9"/>
          </w:tcPr>
          <w:p>
            <w:pPr>
              <w:pStyle w:val="TableParagraph"/>
              <w:rPr>
                <w:rFonts w:ascii="Times New Roman"/>
                <w:sz w:val="18"/>
              </w:rPr>
            </w:pPr>
          </w:p>
        </w:tc>
        <w:tc>
          <w:tcPr>
            <w:tcW w:w="1238" w:type="dxa"/>
            <w:shd w:val="clear" w:color="auto" w:fill="D9D9D9"/>
          </w:tcPr>
          <w:p>
            <w:pPr>
              <w:pStyle w:val="TableParagraph"/>
              <w:rPr>
                <w:rFonts w:ascii="Times New Roman"/>
                <w:sz w:val="18"/>
              </w:rPr>
            </w:pPr>
          </w:p>
        </w:tc>
        <w:tc>
          <w:tcPr>
            <w:tcW w:w="1442" w:type="dxa"/>
            <w:shd w:val="clear" w:color="auto" w:fill="D9D9D9"/>
          </w:tcPr>
          <w:p>
            <w:pPr>
              <w:pStyle w:val="TableParagraph"/>
              <w:rPr>
                <w:rFonts w:ascii="Times New Roman"/>
                <w:sz w:val="18"/>
              </w:rPr>
            </w:pPr>
          </w:p>
        </w:tc>
        <w:tc>
          <w:tcPr>
            <w:tcW w:w="1360" w:type="dxa"/>
            <w:shd w:val="clear" w:color="auto" w:fill="D9D9D9"/>
          </w:tcPr>
          <w:p>
            <w:pPr>
              <w:pStyle w:val="TableParagraph"/>
              <w:rPr>
                <w:rFonts w:ascii="Verdana"/>
                <w:sz w:val="18"/>
              </w:rPr>
            </w:pPr>
          </w:p>
          <w:p>
            <w:pPr>
              <w:pStyle w:val="TableParagraph"/>
              <w:spacing w:before="79"/>
              <w:rPr>
                <w:rFonts w:ascii="Verdana"/>
                <w:sz w:val="18"/>
              </w:rPr>
            </w:pPr>
          </w:p>
          <w:p>
            <w:pPr>
              <w:pStyle w:val="TableParagraph"/>
              <w:spacing w:before="1"/>
              <w:ind w:right="55"/>
              <w:jc w:val="right"/>
              <w:rPr>
                <w:rFonts w:ascii="Arial" w:hAnsi="Arial"/>
                <w:b/>
                <w:sz w:val="18"/>
              </w:rPr>
            </w:pPr>
            <w:r>
              <w:rPr>
                <w:rFonts w:ascii="Arial" w:hAnsi="Arial"/>
                <w:b/>
                <w:sz w:val="18"/>
              </w:rPr>
              <w:t>300.000,00</w:t>
            </w:r>
            <w:r>
              <w:rPr>
                <w:rFonts w:ascii="Arial" w:hAnsi="Arial"/>
                <w:b/>
                <w:spacing w:val="-6"/>
                <w:sz w:val="18"/>
              </w:rPr>
              <w:t> </w:t>
            </w:r>
            <w:r>
              <w:rPr>
                <w:rFonts w:ascii="Arial" w:hAnsi="Arial"/>
                <w:b/>
                <w:spacing w:val="-10"/>
                <w:sz w:val="18"/>
              </w:rPr>
              <w:t>€</w:t>
            </w:r>
          </w:p>
        </w:tc>
        <w:tc>
          <w:tcPr>
            <w:tcW w:w="1320" w:type="dxa"/>
            <w:shd w:val="clear" w:color="auto" w:fill="D9D9D9"/>
          </w:tcPr>
          <w:p>
            <w:pPr>
              <w:pStyle w:val="TableParagraph"/>
              <w:rPr>
                <w:rFonts w:ascii="Verdana"/>
                <w:sz w:val="18"/>
              </w:rPr>
            </w:pPr>
          </w:p>
          <w:p>
            <w:pPr>
              <w:pStyle w:val="TableParagraph"/>
              <w:spacing w:before="79"/>
              <w:rPr>
                <w:rFonts w:ascii="Verdana"/>
                <w:sz w:val="18"/>
              </w:rPr>
            </w:pPr>
          </w:p>
          <w:p>
            <w:pPr>
              <w:pStyle w:val="TableParagraph"/>
              <w:spacing w:before="1"/>
              <w:ind w:right="55"/>
              <w:jc w:val="right"/>
              <w:rPr>
                <w:rFonts w:ascii="Arial" w:hAnsi="Arial"/>
                <w:b/>
                <w:sz w:val="18"/>
              </w:rPr>
            </w:pPr>
            <w:r>
              <w:rPr>
                <w:rFonts w:ascii="Arial" w:hAnsi="Arial"/>
                <w:b/>
                <w:sz w:val="18"/>
              </w:rPr>
              <w:t>300.000,00</w:t>
            </w:r>
            <w:r>
              <w:rPr>
                <w:rFonts w:ascii="Arial" w:hAnsi="Arial"/>
                <w:b/>
                <w:spacing w:val="-6"/>
                <w:sz w:val="18"/>
              </w:rPr>
              <w:t> </w:t>
            </w:r>
            <w:r>
              <w:rPr>
                <w:rFonts w:ascii="Arial" w:hAnsi="Arial"/>
                <w:b/>
                <w:spacing w:val="-10"/>
                <w:sz w:val="18"/>
              </w:rPr>
              <w:t>€</w:t>
            </w:r>
          </w:p>
        </w:tc>
        <w:tc>
          <w:tcPr>
            <w:tcW w:w="659" w:type="dxa"/>
            <w:shd w:val="clear" w:color="auto" w:fill="D9D9D9"/>
          </w:tcPr>
          <w:p>
            <w:pPr>
              <w:pStyle w:val="TableParagraph"/>
              <w:rPr>
                <w:rFonts w:ascii="Verdana"/>
                <w:sz w:val="18"/>
              </w:rPr>
            </w:pPr>
          </w:p>
          <w:p>
            <w:pPr>
              <w:pStyle w:val="TableParagraph"/>
              <w:spacing w:before="79"/>
              <w:rPr>
                <w:rFonts w:ascii="Verdana"/>
                <w:sz w:val="18"/>
              </w:rPr>
            </w:pPr>
          </w:p>
          <w:p>
            <w:pPr>
              <w:pStyle w:val="TableParagraph"/>
              <w:spacing w:before="1"/>
              <w:ind w:left="46" w:right="10"/>
              <w:jc w:val="center"/>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c>
          <w:tcPr>
            <w:tcW w:w="1120" w:type="dxa"/>
            <w:shd w:val="clear" w:color="auto" w:fill="D9D9D9"/>
          </w:tcPr>
          <w:p>
            <w:pPr>
              <w:pStyle w:val="TableParagraph"/>
              <w:rPr>
                <w:rFonts w:ascii="Verdana"/>
                <w:sz w:val="18"/>
              </w:rPr>
            </w:pPr>
          </w:p>
          <w:p>
            <w:pPr>
              <w:pStyle w:val="TableParagraph"/>
              <w:spacing w:before="79"/>
              <w:rPr>
                <w:rFonts w:ascii="Verdana"/>
                <w:sz w:val="18"/>
              </w:rPr>
            </w:pPr>
          </w:p>
          <w:p>
            <w:pPr>
              <w:pStyle w:val="TableParagraph"/>
              <w:spacing w:before="1"/>
              <w:ind w:right="52"/>
              <w:jc w:val="right"/>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r>
      <w:tr>
        <w:trPr>
          <w:trHeight w:val="414" w:hRule="atLeast"/>
        </w:trPr>
        <w:tc>
          <w:tcPr>
            <w:tcW w:w="1726" w:type="dxa"/>
            <w:shd w:val="clear" w:color="auto" w:fill="FFFF00"/>
          </w:tcPr>
          <w:p>
            <w:pPr>
              <w:pStyle w:val="TableParagraph"/>
              <w:rPr>
                <w:rFonts w:ascii="Times New Roman"/>
                <w:sz w:val="18"/>
              </w:rPr>
            </w:pPr>
          </w:p>
        </w:tc>
        <w:tc>
          <w:tcPr>
            <w:tcW w:w="5273" w:type="dxa"/>
            <w:shd w:val="clear" w:color="auto" w:fill="FFFF00"/>
          </w:tcPr>
          <w:p>
            <w:pPr>
              <w:pStyle w:val="TableParagraph"/>
              <w:spacing w:line="206" w:lineRule="exact"/>
              <w:ind w:left="69"/>
              <w:rPr>
                <w:sz w:val="18"/>
              </w:rPr>
            </w:pPr>
            <w:r>
              <w:rPr>
                <w:sz w:val="18"/>
              </w:rPr>
              <w:t>Para</w:t>
            </w:r>
            <w:r>
              <w:rPr>
                <w:spacing w:val="-5"/>
                <w:sz w:val="18"/>
              </w:rPr>
              <w:t> </w:t>
            </w:r>
            <w:r>
              <w:rPr>
                <w:sz w:val="18"/>
              </w:rPr>
              <w:t>sufragar</w:t>
            </w:r>
            <w:r>
              <w:rPr>
                <w:spacing w:val="-6"/>
                <w:sz w:val="18"/>
              </w:rPr>
              <w:t> </w:t>
            </w:r>
            <w:r>
              <w:rPr>
                <w:sz w:val="18"/>
              </w:rPr>
              <w:t>gastos</w:t>
            </w:r>
            <w:r>
              <w:rPr>
                <w:spacing w:val="-5"/>
                <w:sz w:val="18"/>
              </w:rPr>
              <w:t> </w:t>
            </w:r>
            <w:r>
              <w:rPr>
                <w:sz w:val="18"/>
              </w:rPr>
              <w:t>de</w:t>
            </w:r>
            <w:r>
              <w:rPr>
                <w:spacing w:val="-7"/>
                <w:sz w:val="18"/>
              </w:rPr>
              <w:t> </w:t>
            </w:r>
            <w:r>
              <w:rPr>
                <w:sz w:val="18"/>
              </w:rPr>
              <w:t>explotación</w:t>
            </w:r>
            <w:r>
              <w:rPr>
                <w:spacing w:val="-5"/>
                <w:sz w:val="18"/>
              </w:rPr>
              <w:t> </w:t>
            </w:r>
            <w:r>
              <w:rPr>
                <w:sz w:val="18"/>
              </w:rPr>
              <w:t>del</w:t>
            </w:r>
            <w:r>
              <w:rPr>
                <w:spacing w:val="-6"/>
                <w:sz w:val="18"/>
              </w:rPr>
              <w:t> </w:t>
            </w:r>
            <w:r>
              <w:rPr>
                <w:sz w:val="18"/>
              </w:rPr>
              <w:t>Consorcio</w:t>
            </w:r>
            <w:r>
              <w:rPr>
                <w:spacing w:val="-7"/>
                <w:sz w:val="18"/>
              </w:rPr>
              <w:t> </w:t>
            </w:r>
            <w:r>
              <w:rPr>
                <w:sz w:val="18"/>
              </w:rPr>
              <w:t>de </w:t>
            </w:r>
            <w:r>
              <w:rPr>
                <w:spacing w:val="-2"/>
                <w:sz w:val="18"/>
              </w:rPr>
              <w:t>Emergencias</w:t>
            </w:r>
          </w:p>
        </w:tc>
        <w:tc>
          <w:tcPr>
            <w:tcW w:w="1238" w:type="dxa"/>
            <w:shd w:val="clear" w:color="auto" w:fill="FFFF00"/>
          </w:tcPr>
          <w:p>
            <w:pPr>
              <w:pStyle w:val="TableParagraph"/>
              <w:spacing w:before="102"/>
              <w:ind w:left="69"/>
              <w:rPr>
                <w:sz w:val="18"/>
              </w:rPr>
            </w:pPr>
            <w:r>
              <w:rPr>
                <w:spacing w:val="-2"/>
                <w:sz w:val="18"/>
              </w:rPr>
              <w:t>Competitiva</w:t>
            </w:r>
          </w:p>
        </w:tc>
        <w:tc>
          <w:tcPr>
            <w:tcW w:w="1442" w:type="dxa"/>
            <w:shd w:val="clear" w:color="auto" w:fill="FFFF00"/>
          </w:tcPr>
          <w:p>
            <w:pPr>
              <w:pStyle w:val="TableParagraph"/>
              <w:spacing w:before="102"/>
              <w:ind w:left="17" w:right="9"/>
              <w:jc w:val="center"/>
              <w:rPr>
                <w:sz w:val="18"/>
              </w:rPr>
            </w:pPr>
            <w:r>
              <w:rPr>
                <w:spacing w:val="-2"/>
                <w:sz w:val="18"/>
              </w:rPr>
              <w:t>136.46700</w:t>
            </w:r>
          </w:p>
        </w:tc>
        <w:tc>
          <w:tcPr>
            <w:tcW w:w="1360" w:type="dxa"/>
            <w:shd w:val="clear" w:color="auto" w:fill="99CC00"/>
          </w:tcPr>
          <w:p>
            <w:pPr>
              <w:pStyle w:val="TableParagraph"/>
              <w:spacing w:before="102"/>
              <w:ind w:right="55"/>
              <w:jc w:val="right"/>
              <w:rPr>
                <w:sz w:val="18"/>
              </w:rPr>
            </w:pPr>
            <w:r>
              <w:rPr>
                <w:spacing w:val="4"/>
                <w:w w:val="90"/>
                <w:sz w:val="18"/>
              </w:rPr>
              <w:t>300.000,00</w:t>
            </w:r>
            <w:r>
              <w:rPr>
                <w:spacing w:val="44"/>
                <w:sz w:val="18"/>
              </w:rPr>
              <w:t> </w:t>
            </w:r>
            <w:r>
              <w:rPr>
                <w:spacing w:val="-10"/>
                <w:w w:val="90"/>
                <w:sz w:val="18"/>
              </w:rPr>
              <w:t>€</w:t>
            </w:r>
          </w:p>
        </w:tc>
        <w:tc>
          <w:tcPr>
            <w:tcW w:w="1320" w:type="dxa"/>
          </w:tcPr>
          <w:p>
            <w:pPr>
              <w:pStyle w:val="TableParagraph"/>
              <w:spacing w:before="102"/>
              <w:ind w:right="55"/>
              <w:jc w:val="right"/>
              <w:rPr>
                <w:sz w:val="18"/>
              </w:rPr>
            </w:pPr>
            <w:r>
              <w:rPr>
                <w:spacing w:val="4"/>
                <w:w w:val="90"/>
                <w:sz w:val="18"/>
              </w:rPr>
              <w:t>300.000,00</w:t>
            </w:r>
            <w:r>
              <w:rPr>
                <w:spacing w:val="44"/>
                <w:sz w:val="18"/>
              </w:rPr>
              <w:t> </w:t>
            </w:r>
            <w:r>
              <w:rPr>
                <w:spacing w:val="-10"/>
                <w:w w:val="90"/>
                <w:sz w:val="18"/>
              </w:rPr>
              <w:t>€</w:t>
            </w:r>
          </w:p>
        </w:tc>
        <w:tc>
          <w:tcPr>
            <w:tcW w:w="659" w:type="dxa"/>
          </w:tcPr>
          <w:p>
            <w:pPr>
              <w:pStyle w:val="TableParagraph"/>
              <w:rPr>
                <w:rFonts w:ascii="Times New Roman"/>
                <w:sz w:val="18"/>
              </w:rPr>
            </w:pPr>
          </w:p>
        </w:tc>
        <w:tc>
          <w:tcPr>
            <w:tcW w:w="1120" w:type="dxa"/>
          </w:tcPr>
          <w:p>
            <w:pPr>
              <w:pStyle w:val="TableParagraph"/>
              <w:rPr>
                <w:rFonts w:ascii="Times New Roman"/>
                <w:sz w:val="18"/>
              </w:rPr>
            </w:pPr>
          </w:p>
        </w:tc>
      </w:tr>
      <w:tr>
        <w:trPr>
          <w:trHeight w:val="412" w:hRule="atLeast"/>
        </w:trPr>
        <w:tc>
          <w:tcPr>
            <w:tcW w:w="1726" w:type="dxa"/>
            <w:shd w:val="clear" w:color="auto" w:fill="D9D9D9"/>
          </w:tcPr>
          <w:p>
            <w:pPr>
              <w:pStyle w:val="TableParagraph"/>
              <w:spacing w:line="206" w:lineRule="exact"/>
              <w:ind w:left="69" w:right="412"/>
              <w:rPr>
                <w:rFonts w:ascii="Arial"/>
                <w:b/>
                <w:sz w:val="18"/>
              </w:rPr>
            </w:pPr>
            <w:r>
              <w:rPr>
                <w:rFonts w:ascii="Arial"/>
                <w:b/>
                <w:sz w:val="18"/>
              </w:rPr>
              <w:t>Residuos y limpieza</w:t>
            </w:r>
            <w:r>
              <w:rPr>
                <w:rFonts w:ascii="Arial"/>
                <w:b/>
                <w:spacing w:val="-13"/>
                <w:sz w:val="18"/>
              </w:rPr>
              <w:t> </w:t>
            </w:r>
            <w:r>
              <w:rPr>
                <w:rFonts w:ascii="Arial"/>
                <w:b/>
                <w:sz w:val="18"/>
              </w:rPr>
              <w:t>viaria</w:t>
            </w:r>
          </w:p>
        </w:tc>
        <w:tc>
          <w:tcPr>
            <w:tcW w:w="5273" w:type="dxa"/>
            <w:shd w:val="clear" w:color="auto" w:fill="D9D9D9"/>
          </w:tcPr>
          <w:p>
            <w:pPr>
              <w:pStyle w:val="TableParagraph"/>
              <w:rPr>
                <w:rFonts w:ascii="Times New Roman"/>
                <w:sz w:val="18"/>
              </w:rPr>
            </w:pPr>
          </w:p>
        </w:tc>
        <w:tc>
          <w:tcPr>
            <w:tcW w:w="1238" w:type="dxa"/>
            <w:shd w:val="clear" w:color="auto" w:fill="D9D9D9"/>
          </w:tcPr>
          <w:p>
            <w:pPr>
              <w:pStyle w:val="TableParagraph"/>
              <w:rPr>
                <w:rFonts w:ascii="Times New Roman"/>
                <w:sz w:val="18"/>
              </w:rPr>
            </w:pPr>
          </w:p>
        </w:tc>
        <w:tc>
          <w:tcPr>
            <w:tcW w:w="1442" w:type="dxa"/>
            <w:shd w:val="clear" w:color="auto" w:fill="D9D9D9"/>
          </w:tcPr>
          <w:p>
            <w:pPr>
              <w:pStyle w:val="TableParagraph"/>
              <w:rPr>
                <w:rFonts w:ascii="Times New Roman"/>
                <w:sz w:val="18"/>
              </w:rPr>
            </w:pPr>
          </w:p>
        </w:tc>
        <w:tc>
          <w:tcPr>
            <w:tcW w:w="1360" w:type="dxa"/>
            <w:shd w:val="clear" w:color="auto" w:fill="D9D9D9"/>
          </w:tcPr>
          <w:p>
            <w:pPr>
              <w:pStyle w:val="TableParagraph"/>
              <w:spacing w:before="102"/>
              <w:ind w:right="54"/>
              <w:jc w:val="right"/>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c>
          <w:tcPr>
            <w:tcW w:w="1320" w:type="dxa"/>
            <w:shd w:val="clear" w:color="auto" w:fill="D9D9D9"/>
          </w:tcPr>
          <w:p>
            <w:pPr>
              <w:pStyle w:val="TableParagraph"/>
              <w:spacing w:before="102"/>
              <w:ind w:right="54"/>
              <w:jc w:val="right"/>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c>
          <w:tcPr>
            <w:tcW w:w="659" w:type="dxa"/>
            <w:shd w:val="clear" w:color="auto" w:fill="D9D9D9"/>
          </w:tcPr>
          <w:p>
            <w:pPr>
              <w:pStyle w:val="TableParagraph"/>
              <w:spacing w:before="102"/>
              <w:ind w:left="46" w:right="10"/>
              <w:jc w:val="center"/>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c>
          <w:tcPr>
            <w:tcW w:w="1120" w:type="dxa"/>
            <w:shd w:val="clear" w:color="auto" w:fill="D9D9D9"/>
          </w:tcPr>
          <w:p>
            <w:pPr>
              <w:pStyle w:val="TableParagraph"/>
              <w:spacing w:before="102"/>
              <w:ind w:right="52"/>
              <w:jc w:val="right"/>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r>
      <w:tr>
        <w:trPr>
          <w:trHeight w:val="285" w:hRule="atLeast"/>
        </w:trPr>
        <w:tc>
          <w:tcPr>
            <w:tcW w:w="1726" w:type="dxa"/>
            <w:shd w:val="clear" w:color="auto" w:fill="FFFF00"/>
          </w:tcPr>
          <w:p>
            <w:pPr>
              <w:pStyle w:val="TableParagraph"/>
              <w:rPr>
                <w:rFonts w:ascii="Times New Roman"/>
                <w:sz w:val="18"/>
              </w:rPr>
            </w:pPr>
          </w:p>
        </w:tc>
        <w:tc>
          <w:tcPr>
            <w:tcW w:w="5273" w:type="dxa"/>
            <w:shd w:val="clear" w:color="auto" w:fill="FFFF00"/>
          </w:tcPr>
          <w:p>
            <w:pPr>
              <w:pStyle w:val="TableParagraph"/>
              <w:rPr>
                <w:rFonts w:ascii="Times New Roman"/>
                <w:sz w:val="18"/>
              </w:rPr>
            </w:pPr>
          </w:p>
        </w:tc>
        <w:tc>
          <w:tcPr>
            <w:tcW w:w="1238" w:type="dxa"/>
            <w:shd w:val="clear" w:color="auto" w:fill="FFFF00"/>
          </w:tcPr>
          <w:p>
            <w:pPr>
              <w:pStyle w:val="TableParagraph"/>
              <w:rPr>
                <w:rFonts w:ascii="Times New Roman"/>
                <w:sz w:val="18"/>
              </w:rPr>
            </w:pPr>
          </w:p>
        </w:tc>
        <w:tc>
          <w:tcPr>
            <w:tcW w:w="1442" w:type="dxa"/>
            <w:shd w:val="clear" w:color="auto" w:fill="FFFF00"/>
          </w:tcPr>
          <w:p>
            <w:pPr>
              <w:pStyle w:val="TableParagraph"/>
              <w:rPr>
                <w:rFonts w:ascii="Times New Roman"/>
                <w:sz w:val="18"/>
              </w:rPr>
            </w:pPr>
          </w:p>
        </w:tc>
        <w:tc>
          <w:tcPr>
            <w:tcW w:w="1360" w:type="dxa"/>
            <w:shd w:val="clear" w:color="auto" w:fill="99CC00"/>
          </w:tcPr>
          <w:p>
            <w:pPr>
              <w:pStyle w:val="TableParagraph"/>
              <w:rPr>
                <w:rFonts w:ascii="Times New Roman"/>
                <w:sz w:val="18"/>
              </w:rPr>
            </w:pPr>
          </w:p>
        </w:tc>
        <w:tc>
          <w:tcPr>
            <w:tcW w:w="1320" w:type="dxa"/>
          </w:tcPr>
          <w:p>
            <w:pPr>
              <w:pStyle w:val="TableParagraph"/>
              <w:rPr>
                <w:rFonts w:ascii="Times New Roman"/>
                <w:sz w:val="18"/>
              </w:rPr>
            </w:pPr>
          </w:p>
        </w:tc>
        <w:tc>
          <w:tcPr>
            <w:tcW w:w="659" w:type="dxa"/>
          </w:tcPr>
          <w:p>
            <w:pPr>
              <w:pStyle w:val="TableParagraph"/>
              <w:rPr>
                <w:rFonts w:ascii="Times New Roman"/>
                <w:sz w:val="18"/>
              </w:rPr>
            </w:pPr>
          </w:p>
        </w:tc>
        <w:tc>
          <w:tcPr>
            <w:tcW w:w="1120" w:type="dxa"/>
          </w:tcPr>
          <w:p>
            <w:pPr>
              <w:pStyle w:val="TableParagraph"/>
              <w:rPr>
                <w:rFonts w:ascii="Times New Roman"/>
                <w:sz w:val="18"/>
              </w:rPr>
            </w:pPr>
          </w:p>
        </w:tc>
      </w:tr>
      <w:tr>
        <w:trPr>
          <w:trHeight w:val="827" w:hRule="atLeast"/>
        </w:trPr>
        <w:tc>
          <w:tcPr>
            <w:tcW w:w="1726" w:type="dxa"/>
            <w:shd w:val="clear" w:color="auto" w:fill="D9D9D9"/>
          </w:tcPr>
          <w:p>
            <w:pPr>
              <w:pStyle w:val="TableParagraph"/>
              <w:ind w:left="69"/>
              <w:rPr>
                <w:rFonts w:ascii="Arial"/>
                <w:b/>
                <w:sz w:val="18"/>
              </w:rPr>
            </w:pPr>
            <w:r>
              <w:rPr>
                <w:rFonts w:ascii="Arial"/>
                <w:b/>
                <w:sz w:val="18"/>
              </w:rPr>
              <w:t>Agua de absto, </w:t>
            </w:r>
            <w:r>
              <w:rPr>
                <w:rFonts w:ascii="Arial"/>
                <w:b/>
                <w:spacing w:val="-2"/>
                <w:sz w:val="18"/>
              </w:rPr>
              <w:t>alumbrado</w:t>
            </w:r>
          </w:p>
          <w:p>
            <w:pPr>
              <w:pStyle w:val="TableParagraph"/>
              <w:spacing w:line="206" w:lineRule="exact"/>
              <w:ind w:left="69" w:right="149"/>
              <w:rPr>
                <w:rFonts w:ascii="Arial" w:hAnsi="Arial"/>
                <w:b/>
                <w:sz w:val="18"/>
              </w:rPr>
            </w:pPr>
            <w:r>
              <w:rPr>
                <w:rFonts w:ascii="Arial" w:hAnsi="Arial"/>
                <w:b/>
                <w:sz w:val="18"/>
              </w:rPr>
              <w:t>público,</w:t>
            </w:r>
            <w:r>
              <w:rPr>
                <w:rFonts w:ascii="Arial" w:hAnsi="Arial"/>
                <w:b/>
                <w:spacing w:val="-13"/>
                <w:sz w:val="18"/>
              </w:rPr>
              <w:t> </w:t>
            </w:r>
            <w:r>
              <w:rPr>
                <w:rFonts w:ascii="Arial" w:hAnsi="Arial"/>
                <w:b/>
                <w:sz w:val="18"/>
              </w:rPr>
              <w:t>mercado y consumo</w:t>
            </w:r>
          </w:p>
        </w:tc>
        <w:tc>
          <w:tcPr>
            <w:tcW w:w="5273" w:type="dxa"/>
            <w:shd w:val="clear" w:color="auto" w:fill="D9D9D9"/>
          </w:tcPr>
          <w:p>
            <w:pPr>
              <w:pStyle w:val="TableParagraph"/>
              <w:rPr>
                <w:rFonts w:ascii="Times New Roman"/>
                <w:sz w:val="18"/>
              </w:rPr>
            </w:pPr>
          </w:p>
        </w:tc>
        <w:tc>
          <w:tcPr>
            <w:tcW w:w="1238" w:type="dxa"/>
            <w:shd w:val="clear" w:color="auto" w:fill="D9D9D9"/>
          </w:tcPr>
          <w:p>
            <w:pPr>
              <w:pStyle w:val="TableParagraph"/>
              <w:rPr>
                <w:rFonts w:ascii="Times New Roman"/>
                <w:sz w:val="18"/>
              </w:rPr>
            </w:pPr>
          </w:p>
        </w:tc>
        <w:tc>
          <w:tcPr>
            <w:tcW w:w="1442" w:type="dxa"/>
            <w:shd w:val="clear" w:color="auto" w:fill="D9D9D9"/>
          </w:tcPr>
          <w:p>
            <w:pPr>
              <w:pStyle w:val="TableParagraph"/>
              <w:rPr>
                <w:rFonts w:ascii="Times New Roman"/>
                <w:sz w:val="18"/>
              </w:rPr>
            </w:pPr>
          </w:p>
        </w:tc>
        <w:tc>
          <w:tcPr>
            <w:tcW w:w="1360" w:type="dxa"/>
            <w:shd w:val="clear" w:color="auto" w:fill="D9D9D9"/>
          </w:tcPr>
          <w:p>
            <w:pPr>
              <w:pStyle w:val="TableParagraph"/>
              <w:spacing w:before="92"/>
              <w:rPr>
                <w:rFonts w:ascii="Verdana"/>
                <w:sz w:val="18"/>
              </w:rPr>
            </w:pPr>
          </w:p>
          <w:p>
            <w:pPr>
              <w:pStyle w:val="TableParagraph"/>
              <w:ind w:right="55"/>
              <w:jc w:val="right"/>
              <w:rPr>
                <w:rFonts w:ascii="Arial" w:hAnsi="Arial"/>
                <w:b/>
                <w:sz w:val="18"/>
              </w:rPr>
            </w:pPr>
            <w:r>
              <w:rPr>
                <w:rFonts w:ascii="Arial" w:hAnsi="Arial"/>
                <w:b/>
                <w:sz w:val="18"/>
              </w:rPr>
              <w:t>380.000,00</w:t>
            </w:r>
            <w:r>
              <w:rPr>
                <w:rFonts w:ascii="Arial" w:hAnsi="Arial"/>
                <w:b/>
                <w:spacing w:val="-6"/>
                <w:sz w:val="18"/>
              </w:rPr>
              <w:t> </w:t>
            </w:r>
            <w:r>
              <w:rPr>
                <w:rFonts w:ascii="Arial" w:hAnsi="Arial"/>
                <w:b/>
                <w:spacing w:val="-10"/>
                <w:sz w:val="18"/>
              </w:rPr>
              <w:t>€</w:t>
            </w:r>
          </w:p>
        </w:tc>
        <w:tc>
          <w:tcPr>
            <w:tcW w:w="1320" w:type="dxa"/>
            <w:shd w:val="clear" w:color="auto" w:fill="D9D9D9"/>
          </w:tcPr>
          <w:p>
            <w:pPr>
              <w:pStyle w:val="TableParagraph"/>
              <w:spacing w:before="92"/>
              <w:rPr>
                <w:rFonts w:ascii="Verdana"/>
                <w:sz w:val="18"/>
              </w:rPr>
            </w:pPr>
          </w:p>
          <w:p>
            <w:pPr>
              <w:pStyle w:val="TableParagraph"/>
              <w:ind w:right="55"/>
              <w:jc w:val="right"/>
              <w:rPr>
                <w:rFonts w:ascii="Arial" w:hAnsi="Arial"/>
                <w:b/>
                <w:sz w:val="18"/>
              </w:rPr>
            </w:pPr>
            <w:r>
              <w:rPr>
                <w:rFonts w:ascii="Arial" w:hAnsi="Arial"/>
                <w:b/>
                <w:sz w:val="18"/>
              </w:rPr>
              <w:t>380.000,00</w:t>
            </w:r>
            <w:r>
              <w:rPr>
                <w:rFonts w:ascii="Arial" w:hAnsi="Arial"/>
                <w:b/>
                <w:spacing w:val="-6"/>
                <w:sz w:val="18"/>
              </w:rPr>
              <w:t> </w:t>
            </w:r>
            <w:r>
              <w:rPr>
                <w:rFonts w:ascii="Arial" w:hAnsi="Arial"/>
                <w:b/>
                <w:spacing w:val="-10"/>
                <w:sz w:val="18"/>
              </w:rPr>
              <w:t>€</w:t>
            </w:r>
          </w:p>
        </w:tc>
        <w:tc>
          <w:tcPr>
            <w:tcW w:w="659" w:type="dxa"/>
            <w:shd w:val="clear" w:color="auto" w:fill="D9D9D9"/>
          </w:tcPr>
          <w:p>
            <w:pPr>
              <w:pStyle w:val="TableParagraph"/>
              <w:spacing w:before="92"/>
              <w:rPr>
                <w:rFonts w:ascii="Verdana"/>
                <w:sz w:val="18"/>
              </w:rPr>
            </w:pPr>
          </w:p>
          <w:p>
            <w:pPr>
              <w:pStyle w:val="TableParagraph"/>
              <w:ind w:left="46" w:right="10"/>
              <w:jc w:val="center"/>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c>
          <w:tcPr>
            <w:tcW w:w="1120" w:type="dxa"/>
            <w:shd w:val="clear" w:color="auto" w:fill="D9D9D9"/>
          </w:tcPr>
          <w:p>
            <w:pPr>
              <w:pStyle w:val="TableParagraph"/>
              <w:spacing w:before="92"/>
              <w:rPr>
                <w:rFonts w:ascii="Verdana"/>
                <w:sz w:val="18"/>
              </w:rPr>
            </w:pPr>
          </w:p>
          <w:p>
            <w:pPr>
              <w:pStyle w:val="TableParagraph"/>
              <w:ind w:right="52"/>
              <w:jc w:val="right"/>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r>
      <w:tr>
        <w:trPr>
          <w:trHeight w:val="285" w:hRule="atLeast"/>
        </w:trPr>
        <w:tc>
          <w:tcPr>
            <w:tcW w:w="1726" w:type="dxa"/>
            <w:shd w:val="clear" w:color="auto" w:fill="FFFF00"/>
          </w:tcPr>
          <w:p>
            <w:pPr>
              <w:pStyle w:val="TableParagraph"/>
              <w:rPr>
                <w:rFonts w:ascii="Times New Roman"/>
                <w:sz w:val="18"/>
              </w:rPr>
            </w:pPr>
          </w:p>
        </w:tc>
        <w:tc>
          <w:tcPr>
            <w:tcW w:w="5273" w:type="dxa"/>
            <w:shd w:val="clear" w:color="auto" w:fill="FFFF00"/>
          </w:tcPr>
          <w:p>
            <w:pPr>
              <w:pStyle w:val="TableParagraph"/>
              <w:spacing w:before="39"/>
              <w:ind w:left="69"/>
              <w:rPr>
                <w:sz w:val="18"/>
              </w:rPr>
            </w:pPr>
            <w:r>
              <w:rPr>
                <w:sz w:val="18"/>
              </w:rPr>
              <w:t>Subvención</w:t>
            </w:r>
            <w:r>
              <w:rPr>
                <w:spacing w:val="-2"/>
                <w:sz w:val="18"/>
              </w:rPr>
              <w:t> </w:t>
            </w:r>
            <w:r>
              <w:rPr>
                <w:sz w:val="18"/>
              </w:rPr>
              <w:t>para</w:t>
            </w:r>
            <w:r>
              <w:rPr>
                <w:spacing w:val="-2"/>
                <w:sz w:val="18"/>
              </w:rPr>
              <w:t> </w:t>
            </w:r>
            <w:r>
              <w:rPr>
                <w:sz w:val="18"/>
              </w:rPr>
              <w:t>reducir</w:t>
            </w:r>
            <w:r>
              <w:rPr>
                <w:spacing w:val="-2"/>
                <w:sz w:val="18"/>
              </w:rPr>
              <w:t> </w:t>
            </w:r>
            <w:r>
              <w:rPr>
                <w:sz w:val="18"/>
              </w:rPr>
              <w:t>el</w:t>
            </w:r>
            <w:r>
              <w:rPr>
                <w:spacing w:val="-2"/>
                <w:sz w:val="18"/>
              </w:rPr>
              <w:t> </w:t>
            </w:r>
            <w:r>
              <w:rPr>
                <w:sz w:val="18"/>
              </w:rPr>
              <w:t>precio</w:t>
            </w:r>
            <w:r>
              <w:rPr>
                <w:spacing w:val="-4"/>
                <w:sz w:val="18"/>
              </w:rPr>
              <w:t> </w:t>
            </w:r>
            <w:r>
              <w:rPr>
                <w:sz w:val="18"/>
              </w:rPr>
              <w:t>a</w:t>
            </w:r>
            <w:r>
              <w:rPr>
                <w:spacing w:val="-2"/>
                <w:sz w:val="18"/>
              </w:rPr>
              <w:t> </w:t>
            </w:r>
            <w:r>
              <w:rPr>
                <w:sz w:val="18"/>
              </w:rPr>
              <w:t>pagar</w:t>
            </w:r>
            <w:r>
              <w:rPr>
                <w:spacing w:val="-2"/>
                <w:sz w:val="18"/>
              </w:rPr>
              <w:t> </w:t>
            </w:r>
            <w:r>
              <w:rPr>
                <w:sz w:val="18"/>
              </w:rPr>
              <w:t>por</w:t>
            </w:r>
            <w:r>
              <w:rPr>
                <w:spacing w:val="-2"/>
                <w:sz w:val="18"/>
              </w:rPr>
              <w:t> </w:t>
            </w:r>
            <w:r>
              <w:rPr>
                <w:sz w:val="18"/>
              </w:rPr>
              <w:t>el</w:t>
            </w:r>
            <w:r>
              <w:rPr>
                <w:spacing w:val="-3"/>
                <w:sz w:val="18"/>
              </w:rPr>
              <w:t> </w:t>
            </w:r>
            <w:r>
              <w:rPr>
                <w:spacing w:val="-2"/>
                <w:sz w:val="18"/>
              </w:rPr>
              <w:t>consumidor</w:t>
            </w:r>
          </w:p>
        </w:tc>
        <w:tc>
          <w:tcPr>
            <w:tcW w:w="1238" w:type="dxa"/>
            <w:shd w:val="clear" w:color="auto" w:fill="FFFF00"/>
          </w:tcPr>
          <w:p>
            <w:pPr>
              <w:pStyle w:val="TableParagraph"/>
              <w:spacing w:before="39"/>
              <w:ind w:left="69"/>
              <w:rPr>
                <w:sz w:val="18"/>
              </w:rPr>
            </w:pPr>
            <w:r>
              <w:rPr>
                <w:spacing w:val="-2"/>
                <w:sz w:val="18"/>
              </w:rPr>
              <w:t>Nominativa</w:t>
            </w:r>
          </w:p>
        </w:tc>
        <w:tc>
          <w:tcPr>
            <w:tcW w:w="1442" w:type="dxa"/>
            <w:shd w:val="clear" w:color="auto" w:fill="FFFF00"/>
          </w:tcPr>
          <w:p>
            <w:pPr>
              <w:pStyle w:val="TableParagraph"/>
              <w:spacing w:before="39"/>
              <w:ind w:left="17" w:right="9"/>
              <w:jc w:val="center"/>
              <w:rPr>
                <w:sz w:val="18"/>
              </w:rPr>
            </w:pPr>
            <w:r>
              <w:rPr>
                <w:spacing w:val="-2"/>
                <w:sz w:val="18"/>
              </w:rPr>
              <w:t>161.47200</w:t>
            </w:r>
          </w:p>
        </w:tc>
        <w:tc>
          <w:tcPr>
            <w:tcW w:w="1360" w:type="dxa"/>
            <w:shd w:val="clear" w:color="auto" w:fill="99CC00"/>
          </w:tcPr>
          <w:p>
            <w:pPr>
              <w:pStyle w:val="TableParagraph"/>
              <w:spacing w:before="39"/>
              <w:ind w:right="55"/>
              <w:jc w:val="right"/>
              <w:rPr>
                <w:sz w:val="18"/>
              </w:rPr>
            </w:pPr>
            <w:r>
              <w:rPr>
                <w:spacing w:val="4"/>
                <w:w w:val="90"/>
                <w:sz w:val="18"/>
              </w:rPr>
              <w:t>380.000,00</w:t>
            </w:r>
            <w:r>
              <w:rPr>
                <w:spacing w:val="44"/>
                <w:sz w:val="18"/>
              </w:rPr>
              <w:t> </w:t>
            </w:r>
            <w:r>
              <w:rPr>
                <w:spacing w:val="-10"/>
                <w:w w:val="90"/>
                <w:sz w:val="18"/>
              </w:rPr>
              <w:t>€</w:t>
            </w:r>
          </w:p>
        </w:tc>
        <w:tc>
          <w:tcPr>
            <w:tcW w:w="1320" w:type="dxa"/>
          </w:tcPr>
          <w:p>
            <w:pPr>
              <w:pStyle w:val="TableParagraph"/>
              <w:spacing w:before="39"/>
              <w:ind w:right="55"/>
              <w:jc w:val="right"/>
              <w:rPr>
                <w:sz w:val="18"/>
              </w:rPr>
            </w:pPr>
            <w:r>
              <w:rPr>
                <w:spacing w:val="4"/>
                <w:w w:val="90"/>
                <w:sz w:val="18"/>
              </w:rPr>
              <w:t>380.000,00</w:t>
            </w:r>
            <w:r>
              <w:rPr>
                <w:spacing w:val="44"/>
                <w:sz w:val="18"/>
              </w:rPr>
              <w:t> </w:t>
            </w:r>
            <w:r>
              <w:rPr>
                <w:spacing w:val="-10"/>
                <w:w w:val="90"/>
                <w:sz w:val="18"/>
              </w:rPr>
              <w:t>€</w:t>
            </w:r>
          </w:p>
        </w:tc>
        <w:tc>
          <w:tcPr>
            <w:tcW w:w="659" w:type="dxa"/>
          </w:tcPr>
          <w:p>
            <w:pPr>
              <w:pStyle w:val="TableParagraph"/>
              <w:rPr>
                <w:rFonts w:ascii="Times New Roman"/>
                <w:sz w:val="18"/>
              </w:rPr>
            </w:pPr>
          </w:p>
        </w:tc>
        <w:tc>
          <w:tcPr>
            <w:tcW w:w="1120" w:type="dxa"/>
          </w:tcPr>
          <w:p>
            <w:pPr>
              <w:pStyle w:val="TableParagraph"/>
              <w:rPr>
                <w:rFonts w:ascii="Times New Roman"/>
                <w:sz w:val="18"/>
              </w:rPr>
            </w:pPr>
          </w:p>
        </w:tc>
      </w:tr>
      <w:tr>
        <w:trPr>
          <w:trHeight w:val="621" w:hRule="atLeast"/>
        </w:trPr>
        <w:tc>
          <w:tcPr>
            <w:tcW w:w="1726" w:type="dxa"/>
            <w:shd w:val="clear" w:color="auto" w:fill="D9D9D9"/>
          </w:tcPr>
          <w:p>
            <w:pPr>
              <w:pStyle w:val="TableParagraph"/>
              <w:spacing w:line="206" w:lineRule="exact"/>
              <w:ind w:left="69"/>
              <w:rPr>
                <w:rFonts w:ascii="Arial"/>
                <w:b/>
                <w:sz w:val="18"/>
              </w:rPr>
            </w:pPr>
            <w:r>
              <w:rPr>
                <w:rFonts w:ascii="Arial"/>
                <w:b/>
                <w:sz w:val="18"/>
              </w:rPr>
              <w:t>Bienestar</w:t>
            </w:r>
            <w:r>
              <w:rPr>
                <w:rFonts w:ascii="Arial"/>
                <w:b/>
                <w:spacing w:val="-10"/>
                <w:sz w:val="18"/>
              </w:rPr>
              <w:t> </w:t>
            </w:r>
            <w:r>
              <w:rPr>
                <w:rFonts w:ascii="Arial"/>
                <w:b/>
                <w:spacing w:val="-2"/>
                <w:sz w:val="18"/>
              </w:rPr>
              <w:t>animal,</w:t>
            </w:r>
          </w:p>
          <w:p>
            <w:pPr>
              <w:pStyle w:val="TableParagraph"/>
              <w:spacing w:line="206" w:lineRule="exact"/>
              <w:ind w:left="69" w:right="129"/>
              <w:rPr>
                <w:rFonts w:ascii="Arial"/>
                <w:b/>
                <w:sz w:val="18"/>
              </w:rPr>
            </w:pPr>
            <w:r>
              <w:rPr>
                <w:rFonts w:ascii="Arial"/>
                <w:b/>
                <w:sz w:val="18"/>
              </w:rPr>
              <w:t>juventud</w:t>
            </w:r>
            <w:r>
              <w:rPr>
                <w:rFonts w:ascii="Arial"/>
                <w:b/>
                <w:spacing w:val="-15"/>
                <w:sz w:val="18"/>
              </w:rPr>
              <w:t> </w:t>
            </w:r>
            <w:r>
              <w:rPr>
                <w:rFonts w:ascii="Arial"/>
                <w:b/>
                <w:sz w:val="18"/>
              </w:rPr>
              <w:t>y</w:t>
            </w:r>
            <w:r>
              <w:rPr>
                <w:rFonts w:ascii="Arial"/>
                <w:b/>
                <w:spacing w:val="-12"/>
                <w:sz w:val="18"/>
              </w:rPr>
              <w:t> </w:t>
            </w:r>
            <w:r>
              <w:rPr>
                <w:rFonts w:ascii="Arial"/>
                <w:b/>
                <w:sz w:val="18"/>
              </w:rPr>
              <w:t>club del mayor</w:t>
            </w:r>
          </w:p>
        </w:tc>
        <w:tc>
          <w:tcPr>
            <w:tcW w:w="5273" w:type="dxa"/>
            <w:shd w:val="clear" w:color="auto" w:fill="D9D9D9"/>
          </w:tcPr>
          <w:p>
            <w:pPr>
              <w:pStyle w:val="TableParagraph"/>
              <w:rPr>
                <w:rFonts w:ascii="Times New Roman"/>
                <w:sz w:val="18"/>
              </w:rPr>
            </w:pPr>
          </w:p>
        </w:tc>
        <w:tc>
          <w:tcPr>
            <w:tcW w:w="1238" w:type="dxa"/>
            <w:shd w:val="clear" w:color="auto" w:fill="D9D9D9"/>
          </w:tcPr>
          <w:p>
            <w:pPr>
              <w:pStyle w:val="TableParagraph"/>
              <w:rPr>
                <w:rFonts w:ascii="Times New Roman"/>
                <w:sz w:val="18"/>
              </w:rPr>
            </w:pPr>
          </w:p>
        </w:tc>
        <w:tc>
          <w:tcPr>
            <w:tcW w:w="1442" w:type="dxa"/>
            <w:shd w:val="clear" w:color="auto" w:fill="D9D9D9"/>
          </w:tcPr>
          <w:p>
            <w:pPr>
              <w:pStyle w:val="TableParagraph"/>
              <w:rPr>
                <w:rFonts w:ascii="Times New Roman"/>
                <w:sz w:val="18"/>
              </w:rPr>
            </w:pPr>
          </w:p>
        </w:tc>
        <w:tc>
          <w:tcPr>
            <w:tcW w:w="1360" w:type="dxa"/>
            <w:shd w:val="clear" w:color="auto" w:fill="D9D9D9"/>
          </w:tcPr>
          <w:p>
            <w:pPr>
              <w:pStyle w:val="TableParagraph"/>
              <w:spacing w:before="208"/>
              <w:ind w:right="54"/>
              <w:jc w:val="right"/>
              <w:rPr>
                <w:rFonts w:ascii="Arial" w:hAnsi="Arial"/>
                <w:b/>
                <w:sz w:val="18"/>
              </w:rPr>
            </w:pPr>
            <w:r>
              <w:rPr>
                <w:rFonts w:ascii="Arial" w:hAnsi="Arial"/>
                <w:b/>
                <w:sz w:val="18"/>
              </w:rPr>
              <w:t>14.000,00</w:t>
            </w:r>
            <w:r>
              <w:rPr>
                <w:rFonts w:ascii="Arial" w:hAnsi="Arial"/>
                <w:b/>
                <w:spacing w:val="-8"/>
                <w:sz w:val="18"/>
              </w:rPr>
              <w:t> </w:t>
            </w:r>
            <w:r>
              <w:rPr>
                <w:rFonts w:ascii="Arial" w:hAnsi="Arial"/>
                <w:b/>
                <w:spacing w:val="-10"/>
                <w:sz w:val="18"/>
              </w:rPr>
              <w:t>€</w:t>
            </w:r>
          </w:p>
        </w:tc>
        <w:tc>
          <w:tcPr>
            <w:tcW w:w="1320" w:type="dxa"/>
            <w:shd w:val="clear" w:color="auto" w:fill="D9D9D9"/>
          </w:tcPr>
          <w:p>
            <w:pPr>
              <w:pStyle w:val="TableParagraph"/>
              <w:spacing w:before="208"/>
              <w:ind w:right="54"/>
              <w:jc w:val="right"/>
              <w:rPr>
                <w:rFonts w:ascii="Arial" w:hAnsi="Arial"/>
                <w:b/>
                <w:sz w:val="18"/>
              </w:rPr>
            </w:pPr>
            <w:r>
              <w:rPr>
                <w:rFonts w:ascii="Arial" w:hAnsi="Arial"/>
                <w:b/>
                <w:sz w:val="18"/>
              </w:rPr>
              <w:t>14.000,00</w:t>
            </w:r>
            <w:r>
              <w:rPr>
                <w:rFonts w:ascii="Arial" w:hAnsi="Arial"/>
                <w:b/>
                <w:spacing w:val="-8"/>
                <w:sz w:val="18"/>
              </w:rPr>
              <w:t> </w:t>
            </w:r>
            <w:r>
              <w:rPr>
                <w:rFonts w:ascii="Arial" w:hAnsi="Arial"/>
                <w:b/>
                <w:spacing w:val="-10"/>
                <w:sz w:val="18"/>
              </w:rPr>
              <w:t>€</w:t>
            </w:r>
          </w:p>
        </w:tc>
        <w:tc>
          <w:tcPr>
            <w:tcW w:w="659" w:type="dxa"/>
            <w:shd w:val="clear" w:color="auto" w:fill="D9D9D9"/>
          </w:tcPr>
          <w:p>
            <w:pPr>
              <w:pStyle w:val="TableParagraph"/>
              <w:spacing w:before="208"/>
              <w:ind w:left="46" w:right="10"/>
              <w:jc w:val="center"/>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c>
          <w:tcPr>
            <w:tcW w:w="1120" w:type="dxa"/>
            <w:shd w:val="clear" w:color="auto" w:fill="D9D9D9"/>
          </w:tcPr>
          <w:p>
            <w:pPr>
              <w:pStyle w:val="TableParagraph"/>
              <w:spacing w:before="208"/>
              <w:ind w:right="52"/>
              <w:jc w:val="right"/>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r>
      <w:tr>
        <w:trPr>
          <w:trHeight w:val="285" w:hRule="atLeast"/>
        </w:trPr>
        <w:tc>
          <w:tcPr>
            <w:tcW w:w="1726" w:type="dxa"/>
            <w:shd w:val="clear" w:color="auto" w:fill="FFFF00"/>
          </w:tcPr>
          <w:p>
            <w:pPr>
              <w:pStyle w:val="TableParagraph"/>
              <w:rPr>
                <w:rFonts w:ascii="Times New Roman"/>
                <w:sz w:val="18"/>
              </w:rPr>
            </w:pPr>
          </w:p>
        </w:tc>
        <w:tc>
          <w:tcPr>
            <w:tcW w:w="5273" w:type="dxa"/>
            <w:shd w:val="clear" w:color="auto" w:fill="FFFF00"/>
          </w:tcPr>
          <w:p>
            <w:pPr>
              <w:pStyle w:val="TableParagraph"/>
              <w:spacing w:before="39"/>
              <w:ind w:left="69"/>
              <w:rPr>
                <w:sz w:val="18"/>
              </w:rPr>
            </w:pPr>
            <w:r>
              <w:rPr>
                <w:sz w:val="18"/>
              </w:rPr>
              <w:t>Para</w:t>
            </w:r>
            <w:r>
              <w:rPr>
                <w:spacing w:val="-3"/>
                <w:sz w:val="18"/>
              </w:rPr>
              <w:t> </w:t>
            </w:r>
            <w:r>
              <w:rPr>
                <w:sz w:val="18"/>
              </w:rPr>
              <w:t>sufragar</w:t>
            </w:r>
            <w:r>
              <w:rPr>
                <w:spacing w:val="-3"/>
                <w:sz w:val="18"/>
              </w:rPr>
              <w:t> </w:t>
            </w:r>
            <w:r>
              <w:rPr>
                <w:sz w:val="18"/>
              </w:rPr>
              <w:t>gastos</w:t>
            </w:r>
            <w:r>
              <w:rPr>
                <w:spacing w:val="-1"/>
                <w:sz w:val="18"/>
              </w:rPr>
              <w:t> </w:t>
            </w:r>
            <w:r>
              <w:rPr>
                <w:sz w:val="18"/>
              </w:rPr>
              <w:t>de</w:t>
            </w:r>
            <w:r>
              <w:rPr>
                <w:spacing w:val="-5"/>
                <w:sz w:val="18"/>
              </w:rPr>
              <w:t> </w:t>
            </w:r>
            <w:r>
              <w:rPr>
                <w:sz w:val="18"/>
              </w:rPr>
              <w:t>explotación</w:t>
            </w:r>
            <w:r>
              <w:rPr>
                <w:spacing w:val="-3"/>
                <w:sz w:val="18"/>
              </w:rPr>
              <w:t> </w:t>
            </w:r>
            <w:r>
              <w:rPr>
                <w:sz w:val="18"/>
              </w:rPr>
              <w:t>del</w:t>
            </w:r>
            <w:r>
              <w:rPr>
                <w:spacing w:val="-3"/>
                <w:sz w:val="18"/>
              </w:rPr>
              <w:t> </w:t>
            </w:r>
            <w:r>
              <w:rPr>
                <w:sz w:val="18"/>
              </w:rPr>
              <w:t>Club</w:t>
            </w:r>
            <w:r>
              <w:rPr>
                <w:spacing w:val="-3"/>
                <w:sz w:val="18"/>
              </w:rPr>
              <w:t> </w:t>
            </w:r>
            <w:r>
              <w:rPr>
                <w:sz w:val="18"/>
              </w:rPr>
              <w:t>3ª</w:t>
            </w:r>
            <w:r>
              <w:rPr>
                <w:spacing w:val="-5"/>
                <w:sz w:val="18"/>
              </w:rPr>
              <w:t> </w:t>
            </w:r>
            <w:r>
              <w:rPr>
                <w:sz w:val="18"/>
              </w:rPr>
              <w:t>edad</w:t>
            </w:r>
            <w:r>
              <w:rPr>
                <w:spacing w:val="-3"/>
                <w:sz w:val="18"/>
              </w:rPr>
              <w:t> </w:t>
            </w:r>
            <w:r>
              <w:rPr>
                <w:spacing w:val="-2"/>
                <w:sz w:val="18"/>
              </w:rPr>
              <w:t>Gáldar</w:t>
            </w:r>
          </w:p>
        </w:tc>
        <w:tc>
          <w:tcPr>
            <w:tcW w:w="1238" w:type="dxa"/>
            <w:shd w:val="clear" w:color="auto" w:fill="FFFF00"/>
          </w:tcPr>
          <w:p>
            <w:pPr>
              <w:pStyle w:val="TableParagraph"/>
              <w:spacing w:before="39"/>
              <w:ind w:left="69"/>
              <w:rPr>
                <w:sz w:val="18"/>
              </w:rPr>
            </w:pPr>
            <w:r>
              <w:rPr>
                <w:spacing w:val="-2"/>
                <w:sz w:val="18"/>
              </w:rPr>
              <w:t>Nominativa</w:t>
            </w:r>
          </w:p>
        </w:tc>
        <w:tc>
          <w:tcPr>
            <w:tcW w:w="1442" w:type="dxa"/>
            <w:shd w:val="clear" w:color="auto" w:fill="FFFF00"/>
          </w:tcPr>
          <w:p>
            <w:pPr>
              <w:pStyle w:val="TableParagraph"/>
              <w:spacing w:before="39"/>
              <w:ind w:left="17" w:right="7"/>
              <w:jc w:val="center"/>
              <w:rPr>
                <w:sz w:val="18"/>
              </w:rPr>
            </w:pPr>
            <w:r>
              <w:rPr>
                <w:spacing w:val="-2"/>
                <w:sz w:val="18"/>
              </w:rPr>
              <w:t>2315.48000</w:t>
            </w:r>
          </w:p>
        </w:tc>
        <w:tc>
          <w:tcPr>
            <w:tcW w:w="1360" w:type="dxa"/>
            <w:shd w:val="clear" w:color="auto" w:fill="99CC00"/>
          </w:tcPr>
          <w:p>
            <w:pPr>
              <w:pStyle w:val="TableParagraph"/>
              <w:spacing w:before="39"/>
              <w:ind w:right="55"/>
              <w:jc w:val="right"/>
              <w:rPr>
                <w:sz w:val="18"/>
              </w:rPr>
            </w:pPr>
            <w:r>
              <w:rPr>
                <w:spacing w:val="4"/>
                <w:w w:val="90"/>
                <w:sz w:val="18"/>
              </w:rPr>
              <w:t>7.000,00</w:t>
            </w:r>
            <w:r>
              <w:rPr>
                <w:spacing w:val="35"/>
                <w:sz w:val="18"/>
              </w:rPr>
              <w:t> </w:t>
            </w:r>
            <w:r>
              <w:rPr>
                <w:spacing w:val="-10"/>
                <w:w w:val="90"/>
                <w:sz w:val="18"/>
              </w:rPr>
              <w:t>€</w:t>
            </w:r>
          </w:p>
        </w:tc>
        <w:tc>
          <w:tcPr>
            <w:tcW w:w="1320" w:type="dxa"/>
          </w:tcPr>
          <w:p>
            <w:pPr>
              <w:pStyle w:val="TableParagraph"/>
              <w:spacing w:before="39"/>
              <w:ind w:right="55"/>
              <w:jc w:val="right"/>
              <w:rPr>
                <w:sz w:val="18"/>
              </w:rPr>
            </w:pPr>
            <w:r>
              <w:rPr>
                <w:spacing w:val="4"/>
                <w:w w:val="90"/>
                <w:sz w:val="18"/>
              </w:rPr>
              <w:t>7.000,00</w:t>
            </w:r>
            <w:r>
              <w:rPr>
                <w:spacing w:val="35"/>
                <w:sz w:val="18"/>
              </w:rPr>
              <w:t> </w:t>
            </w:r>
            <w:r>
              <w:rPr>
                <w:spacing w:val="-10"/>
                <w:w w:val="90"/>
                <w:sz w:val="18"/>
              </w:rPr>
              <w:t>€</w:t>
            </w:r>
          </w:p>
        </w:tc>
        <w:tc>
          <w:tcPr>
            <w:tcW w:w="659" w:type="dxa"/>
          </w:tcPr>
          <w:p>
            <w:pPr>
              <w:pStyle w:val="TableParagraph"/>
              <w:rPr>
                <w:rFonts w:ascii="Times New Roman"/>
                <w:sz w:val="18"/>
              </w:rPr>
            </w:pPr>
          </w:p>
        </w:tc>
        <w:tc>
          <w:tcPr>
            <w:tcW w:w="1120" w:type="dxa"/>
          </w:tcPr>
          <w:p>
            <w:pPr>
              <w:pStyle w:val="TableParagraph"/>
              <w:rPr>
                <w:rFonts w:ascii="Times New Roman"/>
                <w:sz w:val="18"/>
              </w:rPr>
            </w:pPr>
          </w:p>
        </w:tc>
      </w:tr>
      <w:tr>
        <w:trPr>
          <w:trHeight w:val="285" w:hRule="atLeast"/>
        </w:trPr>
        <w:tc>
          <w:tcPr>
            <w:tcW w:w="1726" w:type="dxa"/>
            <w:shd w:val="clear" w:color="auto" w:fill="FFFF00"/>
          </w:tcPr>
          <w:p>
            <w:pPr>
              <w:pStyle w:val="TableParagraph"/>
              <w:rPr>
                <w:rFonts w:ascii="Times New Roman"/>
                <w:sz w:val="18"/>
              </w:rPr>
            </w:pPr>
          </w:p>
        </w:tc>
        <w:tc>
          <w:tcPr>
            <w:tcW w:w="5273" w:type="dxa"/>
            <w:shd w:val="clear" w:color="auto" w:fill="FFFF00"/>
          </w:tcPr>
          <w:p>
            <w:pPr>
              <w:pStyle w:val="TableParagraph"/>
              <w:spacing w:before="39"/>
              <w:ind w:left="69"/>
              <w:rPr>
                <w:sz w:val="18"/>
              </w:rPr>
            </w:pPr>
            <w:r>
              <w:rPr>
                <w:sz w:val="18"/>
              </w:rPr>
              <w:t>Para</w:t>
            </w:r>
            <w:r>
              <w:rPr>
                <w:spacing w:val="-3"/>
                <w:sz w:val="18"/>
              </w:rPr>
              <w:t> </w:t>
            </w:r>
            <w:r>
              <w:rPr>
                <w:sz w:val="18"/>
              </w:rPr>
              <w:t>sufragar</w:t>
            </w:r>
            <w:r>
              <w:rPr>
                <w:spacing w:val="-3"/>
                <w:sz w:val="18"/>
              </w:rPr>
              <w:t> </w:t>
            </w:r>
            <w:r>
              <w:rPr>
                <w:sz w:val="18"/>
              </w:rPr>
              <w:t>gastos</w:t>
            </w:r>
            <w:r>
              <w:rPr>
                <w:spacing w:val="-2"/>
                <w:sz w:val="18"/>
              </w:rPr>
              <w:t> </w:t>
            </w:r>
            <w:r>
              <w:rPr>
                <w:sz w:val="18"/>
              </w:rPr>
              <w:t>de</w:t>
            </w:r>
            <w:r>
              <w:rPr>
                <w:spacing w:val="-5"/>
                <w:sz w:val="18"/>
              </w:rPr>
              <w:t> </w:t>
            </w:r>
            <w:r>
              <w:rPr>
                <w:sz w:val="18"/>
              </w:rPr>
              <w:t>explotación</w:t>
            </w:r>
            <w:r>
              <w:rPr>
                <w:spacing w:val="-3"/>
                <w:sz w:val="18"/>
              </w:rPr>
              <w:t> </w:t>
            </w:r>
            <w:r>
              <w:rPr>
                <w:sz w:val="18"/>
              </w:rPr>
              <w:t>del</w:t>
            </w:r>
            <w:r>
              <w:rPr>
                <w:spacing w:val="-3"/>
                <w:sz w:val="18"/>
              </w:rPr>
              <w:t> </w:t>
            </w:r>
            <w:r>
              <w:rPr>
                <w:sz w:val="18"/>
              </w:rPr>
              <w:t>Club</w:t>
            </w:r>
            <w:r>
              <w:rPr>
                <w:spacing w:val="-3"/>
                <w:sz w:val="18"/>
              </w:rPr>
              <w:t> </w:t>
            </w:r>
            <w:r>
              <w:rPr>
                <w:sz w:val="18"/>
              </w:rPr>
              <w:t>3ª</w:t>
            </w:r>
            <w:r>
              <w:rPr>
                <w:spacing w:val="-5"/>
                <w:sz w:val="18"/>
              </w:rPr>
              <w:t> </w:t>
            </w:r>
            <w:r>
              <w:rPr>
                <w:sz w:val="18"/>
              </w:rPr>
              <w:t>edad</w:t>
            </w:r>
            <w:r>
              <w:rPr>
                <w:spacing w:val="-3"/>
                <w:sz w:val="18"/>
              </w:rPr>
              <w:t> </w:t>
            </w:r>
            <w:r>
              <w:rPr>
                <w:spacing w:val="-2"/>
                <w:sz w:val="18"/>
              </w:rPr>
              <w:t>Sardina</w:t>
            </w:r>
          </w:p>
        </w:tc>
        <w:tc>
          <w:tcPr>
            <w:tcW w:w="1238" w:type="dxa"/>
            <w:shd w:val="clear" w:color="auto" w:fill="FFFF00"/>
          </w:tcPr>
          <w:p>
            <w:pPr>
              <w:pStyle w:val="TableParagraph"/>
              <w:spacing w:before="39"/>
              <w:ind w:left="69"/>
              <w:rPr>
                <w:sz w:val="18"/>
              </w:rPr>
            </w:pPr>
            <w:r>
              <w:rPr>
                <w:spacing w:val="-2"/>
                <w:sz w:val="18"/>
              </w:rPr>
              <w:t>Nominativa</w:t>
            </w:r>
          </w:p>
        </w:tc>
        <w:tc>
          <w:tcPr>
            <w:tcW w:w="1442" w:type="dxa"/>
            <w:shd w:val="clear" w:color="auto" w:fill="FFFF00"/>
          </w:tcPr>
          <w:p>
            <w:pPr>
              <w:pStyle w:val="TableParagraph"/>
              <w:spacing w:before="39"/>
              <w:ind w:left="17" w:right="9"/>
              <w:jc w:val="center"/>
              <w:rPr>
                <w:sz w:val="18"/>
              </w:rPr>
            </w:pPr>
            <w:r>
              <w:rPr>
                <w:spacing w:val="-2"/>
                <w:sz w:val="18"/>
              </w:rPr>
              <w:t>231648000</w:t>
            </w:r>
          </w:p>
        </w:tc>
        <w:tc>
          <w:tcPr>
            <w:tcW w:w="1360" w:type="dxa"/>
            <w:shd w:val="clear" w:color="auto" w:fill="99CC00"/>
          </w:tcPr>
          <w:p>
            <w:pPr>
              <w:pStyle w:val="TableParagraph"/>
              <w:spacing w:before="39"/>
              <w:ind w:right="55"/>
              <w:jc w:val="right"/>
              <w:rPr>
                <w:sz w:val="18"/>
              </w:rPr>
            </w:pPr>
            <w:r>
              <w:rPr>
                <w:spacing w:val="4"/>
                <w:w w:val="90"/>
                <w:sz w:val="18"/>
              </w:rPr>
              <w:t>7.000,00</w:t>
            </w:r>
            <w:r>
              <w:rPr>
                <w:spacing w:val="35"/>
                <w:sz w:val="18"/>
              </w:rPr>
              <w:t> </w:t>
            </w:r>
            <w:r>
              <w:rPr>
                <w:spacing w:val="-10"/>
                <w:w w:val="90"/>
                <w:sz w:val="18"/>
              </w:rPr>
              <w:t>€</w:t>
            </w:r>
          </w:p>
        </w:tc>
        <w:tc>
          <w:tcPr>
            <w:tcW w:w="1320" w:type="dxa"/>
          </w:tcPr>
          <w:p>
            <w:pPr>
              <w:pStyle w:val="TableParagraph"/>
              <w:spacing w:before="39"/>
              <w:ind w:right="55"/>
              <w:jc w:val="right"/>
              <w:rPr>
                <w:sz w:val="18"/>
              </w:rPr>
            </w:pPr>
            <w:r>
              <w:rPr>
                <w:spacing w:val="4"/>
                <w:w w:val="90"/>
                <w:sz w:val="18"/>
              </w:rPr>
              <w:t>7.000,00</w:t>
            </w:r>
            <w:r>
              <w:rPr>
                <w:spacing w:val="35"/>
                <w:sz w:val="18"/>
              </w:rPr>
              <w:t> </w:t>
            </w:r>
            <w:r>
              <w:rPr>
                <w:spacing w:val="-10"/>
                <w:w w:val="90"/>
                <w:sz w:val="18"/>
              </w:rPr>
              <w:t>€</w:t>
            </w:r>
          </w:p>
        </w:tc>
        <w:tc>
          <w:tcPr>
            <w:tcW w:w="659" w:type="dxa"/>
          </w:tcPr>
          <w:p>
            <w:pPr>
              <w:pStyle w:val="TableParagraph"/>
              <w:rPr>
                <w:rFonts w:ascii="Times New Roman"/>
                <w:sz w:val="18"/>
              </w:rPr>
            </w:pPr>
          </w:p>
        </w:tc>
        <w:tc>
          <w:tcPr>
            <w:tcW w:w="1120" w:type="dxa"/>
          </w:tcPr>
          <w:p>
            <w:pPr>
              <w:pStyle w:val="TableParagraph"/>
              <w:rPr>
                <w:rFonts w:ascii="Times New Roman"/>
                <w:sz w:val="18"/>
              </w:rPr>
            </w:pPr>
          </w:p>
        </w:tc>
      </w:tr>
      <w:tr>
        <w:trPr>
          <w:trHeight w:val="414" w:hRule="atLeast"/>
        </w:trPr>
        <w:tc>
          <w:tcPr>
            <w:tcW w:w="1726" w:type="dxa"/>
            <w:shd w:val="clear" w:color="auto" w:fill="C0C0C0"/>
          </w:tcPr>
          <w:p>
            <w:pPr>
              <w:pStyle w:val="TableParagraph"/>
              <w:spacing w:before="102"/>
              <w:ind w:left="547"/>
              <w:rPr>
                <w:rFonts w:ascii="Arial"/>
                <w:b/>
                <w:sz w:val="18"/>
              </w:rPr>
            </w:pPr>
            <w:r>
              <w:rPr>
                <w:rFonts w:ascii="Arial"/>
                <w:b/>
                <w:spacing w:val="-2"/>
                <w:sz w:val="18"/>
              </w:rPr>
              <w:t>Totales</w:t>
            </w:r>
          </w:p>
        </w:tc>
        <w:tc>
          <w:tcPr>
            <w:tcW w:w="5273" w:type="dxa"/>
          </w:tcPr>
          <w:p>
            <w:pPr>
              <w:pStyle w:val="TableParagraph"/>
              <w:rPr>
                <w:rFonts w:ascii="Times New Roman"/>
                <w:sz w:val="18"/>
              </w:rPr>
            </w:pPr>
          </w:p>
        </w:tc>
        <w:tc>
          <w:tcPr>
            <w:tcW w:w="1238" w:type="dxa"/>
          </w:tcPr>
          <w:p>
            <w:pPr>
              <w:pStyle w:val="TableParagraph"/>
              <w:rPr>
                <w:rFonts w:ascii="Times New Roman"/>
                <w:sz w:val="18"/>
              </w:rPr>
            </w:pPr>
          </w:p>
        </w:tc>
        <w:tc>
          <w:tcPr>
            <w:tcW w:w="1442" w:type="dxa"/>
          </w:tcPr>
          <w:p>
            <w:pPr>
              <w:pStyle w:val="TableParagraph"/>
              <w:rPr>
                <w:rFonts w:ascii="Times New Roman"/>
                <w:sz w:val="18"/>
              </w:rPr>
            </w:pPr>
          </w:p>
        </w:tc>
        <w:tc>
          <w:tcPr>
            <w:tcW w:w="1360" w:type="dxa"/>
            <w:shd w:val="clear" w:color="auto" w:fill="C0C0C0"/>
          </w:tcPr>
          <w:p>
            <w:pPr>
              <w:pStyle w:val="TableParagraph"/>
              <w:spacing w:before="102"/>
              <w:ind w:right="55"/>
              <w:jc w:val="right"/>
              <w:rPr>
                <w:rFonts w:ascii="Arial" w:hAnsi="Arial"/>
                <w:b/>
                <w:sz w:val="18"/>
              </w:rPr>
            </w:pPr>
            <w:r>
              <w:rPr>
                <w:rFonts w:ascii="Arial" w:hAnsi="Arial"/>
                <w:b/>
                <w:sz w:val="18"/>
              </w:rPr>
              <w:t>1.920.640,00</w:t>
            </w:r>
            <w:r>
              <w:rPr>
                <w:rFonts w:ascii="Arial" w:hAnsi="Arial"/>
                <w:b/>
                <w:spacing w:val="-7"/>
                <w:sz w:val="18"/>
              </w:rPr>
              <w:t> </w:t>
            </w:r>
            <w:r>
              <w:rPr>
                <w:rFonts w:ascii="Arial" w:hAnsi="Arial"/>
                <w:b/>
                <w:spacing w:val="-10"/>
                <w:sz w:val="18"/>
              </w:rPr>
              <w:t>€</w:t>
            </w:r>
          </w:p>
        </w:tc>
        <w:tc>
          <w:tcPr>
            <w:tcW w:w="1320" w:type="dxa"/>
            <w:shd w:val="clear" w:color="auto" w:fill="C0C0C0"/>
          </w:tcPr>
          <w:p>
            <w:pPr>
              <w:pStyle w:val="TableParagraph"/>
              <w:spacing w:line="206" w:lineRule="exact"/>
              <w:ind w:right="57"/>
              <w:jc w:val="right"/>
              <w:rPr>
                <w:rFonts w:ascii="Arial"/>
                <w:b/>
                <w:sz w:val="18"/>
              </w:rPr>
            </w:pPr>
            <w:r>
              <w:rPr>
                <w:rFonts w:ascii="Arial"/>
                <w:b/>
                <w:spacing w:val="-2"/>
                <w:sz w:val="18"/>
              </w:rPr>
              <w:t>1.920.640,00</w:t>
            </w:r>
          </w:p>
          <w:p>
            <w:pPr>
              <w:pStyle w:val="TableParagraph"/>
              <w:spacing w:line="189" w:lineRule="exact"/>
              <w:ind w:right="55"/>
              <w:jc w:val="right"/>
              <w:rPr>
                <w:rFonts w:ascii="Arial" w:hAnsi="Arial"/>
                <w:b/>
                <w:sz w:val="18"/>
              </w:rPr>
            </w:pPr>
            <w:r>
              <w:rPr>
                <w:rFonts w:ascii="Arial" w:hAnsi="Arial"/>
                <w:b/>
                <w:spacing w:val="-10"/>
                <w:sz w:val="18"/>
              </w:rPr>
              <w:t>€</w:t>
            </w:r>
          </w:p>
        </w:tc>
        <w:tc>
          <w:tcPr>
            <w:tcW w:w="659" w:type="dxa"/>
            <w:shd w:val="clear" w:color="auto" w:fill="C0C0C0"/>
          </w:tcPr>
          <w:p>
            <w:pPr>
              <w:pStyle w:val="TableParagraph"/>
              <w:spacing w:before="102"/>
              <w:ind w:left="46" w:right="10"/>
              <w:jc w:val="center"/>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c>
          <w:tcPr>
            <w:tcW w:w="1120" w:type="dxa"/>
            <w:shd w:val="clear" w:color="auto" w:fill="C0C0C0"/>
          </w:tcPr>
          <w:p>
            <w:pPr>
              <w:pStyle w:val="TableParagraph"/>
              <w:spacing w:before="102"/>
              <w:ind w:right="52"/>
              <w:jc w:val="right"/>
              <w:rPr>
                <w:rFonts w:ascii="Arial" w:hAnsi="Arial"/>
                <w:b/>
                <w:sz w:val="18"/>
              </w:rPr>
            </w:pPr>
            <w:r>
              <w:rPr>
                <w:rFonts w:ascii="Arial" w:hAnsi="Arial"/>
                <w:b/>
                <w:sz w:val="18"/>
              </w:rPr>
              <w:t>0,00</w:t>
            </w:r>
            <w:r>
              <w:rPr>
                <w:rFonts w:ascii="Arial" w:hAnsi="Arial"/>
                <w:b/>
                <w:spacing w:val="-1"/>
                <w:sz w:val="18"/>
              </w:rPr>
              <w:t> </w:t>
            </w:r>
            <w:r>
              <w:rPr>
                <w:rFonts w:ascii="Arial" w:hAnsi="Arial"/>
                <w:b/>
                <w:spacing w:val="-10"/>
                <w:sz w:val="18"/>
              </w:rPr>
              <w:t>€</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0"/>
        </w:rPr>
      </w:pPr>
      <w:r>
        <w:rPr/>
        <w:drawing>
          <wp:anchor distT="0" distB="0" distL="0" distR="0" allowOverlap="1" layoutInCell="1" locked="0" behindDoc="1" simplePos="0" relativeHeight="487588864">
            <wp:simplePos x="0" y="0"/>
            <wp:positionH relativeFrom="page">
              <wp:posOffset>1498430</wp:posOffset>
            </wp:positionH>
            <wp:positionV relativeFrom="paragraph">
              <wp:posOffset>170857</wp:posOffset>
            </wp:positionV>
            <wp:extent cx="4382745" cy="234314"/>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6" cstate="print"/>
                    <a:stretch>
                      <a:fillRect/>
                    </a:stretch>
                  </pic:blipFill>
                  <pic:spPr>
                    <a:xfrm>
                      <a:off x="0" y="0"/>
                      <a:ext cx="4382745" cy="234314"/>
                    </a:xfrm>
                    <a:prstGeom prst="rect">
                      <a:avLst/>
                    </a:prstGeom>
                  </pic:spPr>
                </pic:pic>
              </a:graphicData>
            </a:graphic>
          </wp:anchor>
        </w:drawing>
      </w:r>
    </w:p>
    <w:p>
      <w:pPr>
        <w:spacing w:after="0"/>
        <w:rPr>
          <w:sz w:val="20"/>
        </w:rPr>
        <w:sectPr>
          <w:headerReference w:type="default" r:id="rId13"/>
          <w:footerReference w:type="default" r:id="rId14"/>
          <w:pgSz w:w="16840" w:h="11910" w:orient="landscape"/>
          <w:pgMar w:header="638" w:footer="0" w:top="2340" w:bottom="280" w:left="1220" w:right="1220"/>
        </w:sectPr>
      </w:pPr>
    </w:p>
    <w:p>
      <w:pPr>
        <w:pStyle w:val="BodyText"/>
        <w:spacing w:before="104"/>
      </w:pPr>
    </w:p>
    <w:p>
      <w:pPr>
        <w:pStyle w:val="Heading1"/>
        <w:spacing w:before="1"/>
        <w:ind w:left="99" w:right="39"/>
        <w:jc w:val="center"/>
      </w:pPr>
      <w:r>
        <w:rPr/>
        <w:t>CAPÍTULO</w:t>
      </w:r>
      <w:r>
        <w:rPr>
          <w:spacing w:val="-7"/>
        </w:rPr>
        <w:t> </w:t>
      </w:r>
      <w:r>
        <w:rPr>
          <w:spacing w:val="-5"/>
        </w:rPr>
        <w:t>II</w:t>
      </w:r>
    </w:p>
    <w:p>
      <w:pPr>
        <w:spacing w:line="600" w:lineRule="auto" w:before="133"/>
        <w:ind w:left="798" w:right="363" w:firstLine="252"/>
        <w:jc w:val="left"/>
        <w:rPr>
          <w:b/>
          <w:sz w:val="22"/>
        </w:rPr>
      </w:pPr>
      <w:r>
        <w:rPr>
          <w:b/>
          <w:sz w:val="22"/>
        </w:rPr>
        <w:t>BENEFICIARIOS</w:t>
      </w:r>
      <w:r>
        <w:rPr>
          <w:b/>
          <w:spacing w:val="-7"/>
          <w:sz w:val="22"/>
        </w:rPr>
        <w:t> </w:t>
      </w:r>
      <w:r>
        <w:rPr>
          <w:b/>
          <w:sz w:val="22"/>
        </w:rPr>
        <w:t>Y</w:t>
      </w:r>
      <w:r>
        <w:rPr>
          <w:b/>
          <w:spacing w:val="-8"/>
          <w:sz w:val="22"/>
        </w:rPr>
        <w:t> </w:t>
      </w:r>
      <w:r>
        <w:rPr>
          <w:b/>
          <w:sz w:val="22"/>
        </w:rPr>
        <w:t>PROCEDIMIENTOS</w:t>
      </w:r>
      <w:r>
        <w:rPr>
          <w:b/>
          <w:spacing w:val="-10"/>
          <w:sz w:val="22"/>
        </w:rPr>
        <w:t> </w:t>
      </w:r>
      <w:r>
        <w:rPr>
          <w:b/>
          <w:sz w:val="22"/>
        </w:rPr>
        <w:t>DE</w:t>
      </w:r>
      <w:r>
        <w:rPr>
          <w:b/>
          <w:spacing w:val="-7"/>
          <w:sz w:val="22"/>
        </w:rPr>
        <w:t> </w:t>
      </w:r>
      <w:r>
        <w:rPr>
          <w:b/>
          <w:sz w:val="22"/>
        </w:rPr>
        <w:t>CONCESIÓN ARTÍCULO 7. BENEFICIARIOS</w:t>
      </w:r>
    </w:p>
    <w:p>
      <w:pPr>
        <w:pStyle w:val="BodyText"/>
        <w:spacing w:line="360" w:lineRule="auto" w:before="134"/>
        <w:ind w:left="102" w:right="732" w:firstLine="695"/>
        <w:jc w:val="both"/>
      </w:pPr>
      <w:r>
        <w:rPr/>
        <w:t>Tendrá la consideración de beneficiario de subvenciones la persona que haya de realizar la actividad que fundamentó su otorgamiento o que se encuentre en la situación que legítima su </w:t>
      </w:r>
      <w:r>
        <w:rPr>
          <w:spacing w:val="-2"/>
        </w:rPr>
        <w:t>concesión.</w:t>
      </w:r>
    </w:p>
    <w:p>
      <w:pPr>
        <w:pStyle w:val="BodyText"/>
        <w:spacing w:before="1"/>
      </w:pPr>
    </w:p>
    <w:p>
      <w:pPr>
        <w:pStyle w:val="Heading1"/>
      </w:pPr>
      <w:r>
        <w:rPr/>
        <w:t>ARTÍCULO</w:t>
      </w:r>
      <w:r>
        <w:rPr>
          <w:spacing w:val="-8"/>
        </w:rPr>
        <w:t> </w:t>
      </w:r>
      <w:r>
        <w:rPr/>
        <w:t>8.</w:t>
      </w:r>
      <w:r>
        <w:rPr>
          <w:spacing w:val="-5"/>
        </w:rPr>
        <w:t> </w:t>
      </w:r>
      <w:r>
        <w:rPr/>
        <w:t>PROCEDIMIENTO</w:t>
      </w:r>
      <w:r>
        <w:rPr>
          <w:spacing w:val="-5"/>
        </w:rPr>
        <w:t> </w:t>
      </w:r>
      <w:r>
        <w:rPr/>
        <w:t>DE</w:t>
      </w:r>
      <w:r>
        <w:rPr>
          <w:spacing w:val="-5"/>
        </w:rPr>
        <w:t> </w:t>
      </w:r>
      <w:r>
        <w:rPr>
          <w:spacing w:val="-2"/>
        </w:rPr>
        <w:t>CONCESIÓN</w:t>
      </w:r>
    </w:p>
    <w:p>
      <w:pPr>
        <w:pStyle w:val="BodyText"/>
        <w:spacing w:before="133"/>
        <w:rPr>
          <w:b/>
        </w:rPr>
      </w:pPr>
    </w:p>
    <w:p>
      <w:pPr>
        <w:pStyle w:val="BodyText"/>
        <w:spacing w:line="360" w:lineRule="auto"/>
        <w:ind w:left="102" w:right="734" w:firstLine="695"/>
        <w:jc w:val="both"/>
      </w:pPr>
      <w:r>
        <w:rPr/>
        <w:t>El Ayuntamiento concederá subvenciones en los términos y con el alcance previsto en la Ley General de Subvenciones, mediante convocatoria pública o, excepcionalmente, a través de concesión directa. Cualquiera que sea el procedimiento, siempre se deberán respetar los principios establecidos en el artículo 5 de este plan.</w:t>
      </w:r>
    </w:p>
    <w:p>
      <w:pPr>
        <w:pStyle w:val="BodyText"/>
      </w:pPr>
    </w:p>
    <w:p>
      <w:pPr>
        <w:pStyle w:val="Heading1"/>
      </w:pPr>
      <w:r>
        <w:rPr/>
        <w:t>ARTÍCULO</w:t>
      </w:r>
      <w:r>
        <w:rPr>
          <w:spacing w:val="-9"/>
        </w:rPr>
        <w:t> </w:t>
      </w:r>
      <w:r>
        <w:rPr/>
        <w:t>9.</w:t>
      </w:r>
      <w:r>
        <w:rPr>
          <w:spacing w:val="-6"/>
        </w:rPr>
        <w:t> </w:t>
      </w:r>
      <w:r>
        <w:rPr/>
        <w:t>CONCURRENCIA</w:t>
      </w:r>
      <w:r>
        <w:rPr>
          <w:spacing w:val="-8"/>
        </w:rPr>
        <w:t> </w:t>
      </w:r>
      <w:r>
        <w:rPr>
          <w:spacing w:val="-2"/>
        </w:rPr>
        <w:t>COMPETITIVA</w:t>
      </w:r>
    </w:p>
    <w:p>
      <w:pPr>
        <w:pStyle w:val="BodyText"/>
        <w:spacing w:before="135"/>
        <w:rPr>
          <w:b/>
        </w:rPr>
      </w:pPr>
    </w:p>
    <w:p>
      <w:pPr>
        <w:pStyle w:val="BodyText"/>
        <w:spacing w:line="360" w:lineRule="auto"/>
        <w:ind w:left="102" w:right="737" w:firstLine="695"/>
        <w:jc w:val="both"/>
      </w:pPr>
      <w:r>
        <w:rPr/>
        <w:t>En materia de Agricultura, Turismo y Empleo, el Ayuntamiento establecerá, durante el período de vigencia del Plan, las siguientes líneas de subvención:</w:t>
      </w:r>
    </w:p>
    <w:p>
      <w:pPr>
        <w:pStyle w:val="BodyText"/>
        <w:spacing w:before="1"/>
      </w:pPr>
    </w:p>
    <w:p>
      <w:pPr>
        <w:pStyle w:val="BodyText"/>
        <w:spacing w:line="360" w:lineRule="auto"/>
        <w:ind w:left="102" w:right="736" w:firstLine="695"/>
        <w:jc w:val="both"/>
      </w:pPr>
      <w:r>
        <w:rPr/>
        <w:t>Con carácter general las subvenciones se concederán en régimen de concurrencia competitiva. En todo caso, las bases de la convocatoria en los procedimientos de concurrencia deberán contener, como mínimo, lo siguiente:</w:t>
      </w:r>
    </w:p>
    <w:p>
      <w:pPr>
        <w:pStyle w:val="BodyText"/>
        <w:spacing w:before="1"/>
      </w:pPr>
    </w:p>
    <w:p>
      <w:pPr>
        <w:pStyle w:val="ListParagraph"/>
        <w:numPr>
          <w:ilvl w:val="0"/>
          <w:numId w:val="2"/>
        </w:numPr>
        <w:tabs>
          <w:tab w:pos="975" w:val="left" w:leader="none"/>
        </w:tabs>
        <w:spacing w:line="240" w:lineRule="auto" w:before="0" w:after="0"/>
        <w:ind w:left="975" w:right="0" w:hanging="177"/>
        <w:jc w:val="left"/>
        <w:rPr>
          <w:sz w:val="22"/>
        </w:rPr>
      </w:pPr>
      <w:r>
        <w:rPr>
          <w:sz w:val="22"/>
        </w:rPr>
        <w:t>Definición</w:t>
      </w:r>
      <w:r>
        <w:rPr>
          <w:spacing w:val="-3"/>
          <w:sz w:val="22"/>
        </w:rPr>
        <w:t> </w:t>
      </w:r>
      <w:r>
        <w:rPr>
          <w:sz w:val="22"/>
        </w:rPr>
        <w:t>del</w:t>
      </w:r>
      <w:r>
        <w:rPr>
          <w:spacing w:val="-3"/>
          <w:sz w:val="22"/>
        </w:rPr>
        <w:t> </w:t>
      </w:r>
      <w:r>
        <w:rPr>
          <w:sz w:val="22"/>
        </w:rPr>
        <w:t>objeto</w:t>
      </w:r>
      <w:r>
        <w:rPr>
          <w:spacing w:val="-4"/>
          <w:sz w:val="22"/>
        </w:rPr>
        <w:t> </w:t>
      </w:r>
      <w:r>
        <w:rPr>
          <w:sz w:val="22"/>
        </w:rPr>
        <w:t>de</w:t>
      </w:r>
      <w:r>
        <w:rPr>
          <w:spacing w:val="-2"/>
          <w:sz w:val="22"/>
        </w:rPr>
        <w:t> </w:t>
      </w:r>
      <w:r>
        <w:rPr>
          <w:sz w:val="22"/>
        </w:rPr>
        <w:t>la</w:t>
      </w:r>
      <w:r>
        <w:rPr>
          <w:spacing w:val="-3"/>
          <w:sz w:val="22"/>
        </w:rPr>
        <w:t> </w:t>
      </w:r>
      <w:r>
        <w:rPr>
          <w:spacing w:val="-2"/>
          <w:sz w:val="22"/>
        </w:rPr>
        <w:t>subvención.</w:t>
      </w:r>
    </w:p>
    <w:p>
      <w:pPr>
        <w:pStyle w:val="ListParagraph"/>
        <w:numPr>
          <w:ilvl w:val="0"/>
          <w:numId w:val="2"/>
        </w:numPr>
        <w:tabs>
          <w:tab w:pos="1084" w:val="left" w:leader="none"/>
        </w:tabs>
        <w:spacing w:line="360" w:lineRule="auto" w:before="133" w:after="0"/>
        <w:ind w:left="102" w:right="737" w:firstLine="695"/>
        <w:jc w:val="left"/>
        <w:rPr>
          <w:sz w:val="22"/>
        </w:rPr>
      </w:pPr>
      <w:r>
        <w:rPr>
          <w:sz w:val="22"/>
        </w:rPr>
        <w:t>Requisitos</w:t>
      </w:r>
      <w:r>
        <w:rPr>
          <w:spacing w:val="80"/>
          <w:sz w:val="22"/>
        </w:rPr>
        <w:t> </w:t>
      </w:r>
      <w:r>
        <w:rPr>
          <w:sz w:val="22"/>
        </w:rPr>
        <w:t>que</w:t>
      </w:r>
      <w:r>
        <w:rPr>
          <w:spacing w:val="80"/>
          <w:sz w:val="22"/>
        </w:rPr>
        <w:t> </w:t>
      </w:r>
      <w:r>
        <w:rPr>
          <w:sz w:val="22"/>
        </w:rPr>
        <w:t>deberán</w:t>
      </w:r>
      <w:r>
        <w:rPr>
          <w:spacing w:val="80"/>
          <w:sz w:val="22"/>
        </w:rPr>
        <w:t> </w:t>
      </w:r>
      <w:r>
        <w:rPr>
          <w:sz w:val="22"/>
        </w:rPr>
        <w:t>reunir</w:t>
      </w:r>
      <w:r>
        <w:rPr>
          <w:spacing w:val="80"/>
          <w:sz w:val="22"/>
        </w:rPr>
        <w:t> </w:t>
      </w:r>
      <w:r>
        <w:rPr>
          <w:sz w:val="22"/>
        </w:rPr>
        <w:t>los</w:t>
      </w:r>
      <w:r>
        <w:rPr>
          <w:spacing w:val="80"/>
          <w:sz w:val="22"/>
        </w:rPr>
        <w:t> </w:t>
      </w:r>
      <w:r>
        <w:rPr>
          <w:sz w:val="22"/>
        </w:rPr>
        <w:t>beneficiarios</w:t>
      </w:r>
      <w:r>
        <w:rPr>
          <w:spacing w:val="80"/>
          <w:sz w:val="22"/>
        </w:rPr>
        <w:t> </w:t>
      </w:r>
      <w:r>
        <w:rPr>
          <w:sz w:val="22"/>
        </w:rPr>
        <w:t>para</w:t>
      </w:r>
      <w:r>
        <w:rPr>
          <w:spacing w:val="80"/>
          <w:sz w:val="22"/>
        </w:rPr>
        <w:t> </w:t>
      </w:r>
      <w:r>
        <w:rPr>
          <w:sz w:val="22"/>
        </w:rPr>
        <w:t>la obtención de la subvención. - Requisitos formales de la solicitud.</w:t>
      </w:r>
    </w:p>
    <w:p>
      <w:pPr>
        <w:pStyle w:val="ListParagraph"/>
        <w:numPr>
          <w:ilvl w:val="0"/>
          <w:numId w:val="2"/>
        </w:numPr>
        <w:tabs>
          <w:tab w:pos="975" w:val="left" w:leader="none"/>
        </w:tabs>
        <w:spacing w:line="267" w:lineRule="exact" w:before="0" w:after="0"/>
        <w:ind w:left="975" w:right="0" w:hanging="177"/>
        <w:jc w:val="left"/>
        <w:rPr>
          <w:sz w:val="22"/>
        </w:rPr>
      </w:pPr>
      <w:r>
        <w:rPr>
          <w:sz w:val="22"/>
        </w:rPr>
        <w:t>Procedimiento</w:t>
      </w:r>
      <w:r>
        <w:rPr>
          <w:spacing w:val="-5"/>
          <w:sz w:val="22"/>
        </w:rPr>
        <w:t> </w:t>
      </w:r>
      <w:r>
        <w:rPr>
          <w:sz w:val="22"/>
        </w:rPr>
        <w:t>de</w:t>
      </w:r>
      <w:r>
        <w:rPr>
          <w:spacing w:val="-2"/>
          <w:sz w:val="22"/>
        </w:rPr>
        <w:t> </w:t>
      </w:r>
      <w:r>
        <w:rPr>
          <w:sz w:val="22"/>
        </w:rPr>
        <w:t>concesión</w:t>
      </w:r>
      <w:r>
        <w:rPr>
          <w:spacing w:val="-4"/>
          <w:sz w:val="22"/>
        </w:rPr>
        <w:t> </w:t>
      </w:r>
      <w:r>
        <w:rPr>
          <w:sz w:val="22"/>
        </w:rPr>
        <w:t>de</w:t>
      </w:r>
      <w:r>
        <w:rPr>
          <w:spacing w:val="-2"/>
          <w:sz w:val="22"/>
        </w:rPr>
        <w:t> </w:t>
      </w:r>
      <w:r>
        <w:rPr>
          <w:sz w:val="22"/>
        </w:rPr>
        <w:t>la</w:t>
      </w:r>
      <w:r>
        <w:rPr>
          <w:spacing w:val="-4"/>
          <w:sz w:val="22"/>
        </w:rPr>
        <w:t> </w:t>
      </w:r>
      <w:r>
        <w:rPr>
          <w:spacing w:val="-2"/>
          <w:sz w:val="22"/>
        </w:rPr>
        <w:t>subvención.</w:t>
      </w:r>
    </w:p>
    <w:p>
      <w:pPr>
        <w:pStyle w:val="ListParagraph"/>
        <w:numPr>
          <w:ilvl w:val="0"/>
          <w:numId w:val="2"/>
        </w:numPr>
        <w:tabs>
          <w:tab w:pos="975" w:val="left" w:leader="none"/>
        </w:tabs>
        <w:spacing w:line="240" w:lineRule="auto" w:before="134" w:after="0"/>
        <w:ind w:left="975" w:right="0" w:hanging="177"/>
        <w:jc w:val="left"/>
        <w:rPr>
          <w:sz w:val="22"/>
        </w:rPr>
      </w:pPr>
      <w:r>
        <w:rPr>
          <w:sz w:val="22"/>
        </w:rPr>
        <w:t>Partida</w:t>
      </w:r>
      <w:r>
        <w:rPr>
          <w:spacing w:val="-6"/>
          <w:sz w:val="22"/>
        </w:rPr>
        <w:t> </w:t>
      </w:r>
      <w:r>
        <w:rPr>
          <w:sz w:val="22"/>
        </w:rPr>
        <w:t>presupuestaria,</w:t>
      </w:r>
      <w:r>
        <w:rPr>
          <w:spacing w:val="-3"/>
          <w:sz w:val="22"/>
        </w:rPr>
        <w:t> </w:t>
      </w:r>
      <w:r>
        <w:rPr>
          <w:sz w:val="22"/>
        </w:rPr>
        <w:t>cuantía</w:t>
      </w:r>
      <w:r>
        <w:rPr>
          <w:spacing w:val="-5"/>
          <w:sz w:val="22"/>
        </w:rPr>
        <w:t> </w:t>
      </w:r>
      <w:r>
        <w:rPr>
          <w:sz w:val="22"/>
        </w:rPr>
        <w:t>y</w:t>
      </w:r>
      <w:r>
        <w:rPr>
          <w:spacing w:val="-5"/>
          <w:sz w:val="22"/>
        </w:rPr>
        <w:t> </w:t>
      </w:r>
      <w:r>
        <w:rPr>
          <w:sz w:val="22"/>
        </w:rPr>
        <w:t>límites</w:t>
      </w:r>
      <w:r>
        <w:rPr>
          <w:spacing w:val="-4"/>
          <w:sz w:val="22"/>
        </w:rPr>
        <w:t> </w:t>
      </w:r>
      <w:r>
        <w:rPr>
          <w:sz w:val="22"/>
        </w:rPr>
        <w:t>de</w:t>
      </w:r>
      <w:r>
        <w:rPr>
          <w:spacing w:val="-3"/>
          <w:sz w:val="22"/>
        </w:rPr>
        <w:t> </w:t>
      </w:r>
      <w:r>
        <w:rPr>
          <w:sz w:val="22"/>
        </w:rPr>
        <w:t>la</w:t>
      </w:r>
      <w:r>
        <w:rPr>
          <w:spacing w:val="-5"/>
          <w:sz w:val="22"/>
        </w:rPr>
        <w:t> </w:t>
      </w:r>
      <w:r>
        <w:rPr>
          <w:spacing w:val="-2"/>
          <w:sz w:val="22"/>
        </w:rPr>
        <w:t>subvención.</w:t>
      </w:r>
    </w:p>
    <w:p>
      <w:pPr>
        <w:pStyle w:val="BodyText"/>
        <w:spacing w:before="156"/>
        <w:rPr>
          <w:sz w:val="20"/>
        </w:rPr>
      </w:pPr>
      <w:r>
        <w:rPr/>
        <w:drawing>
          <wp:anchor distT="0" distB="0" distL="0" distR="0" allowOverlap="1" layoutInCell="1" locked="0" behindDoc="1" simplePos="0" relativeHeight="487589376">
            <wp:simplePos x="0" y="0"/>
            <wp:positionH relativeFrom="page">
              <wp:posOffset>1906735</wp:posOffset>
            </wp:positionH>
            <wp:positionV relativeFrom="paragraph">
              <wp:posOffset>268647</wp:posOffset>
            </wp:positionV>
            <wp:extent cx="4350677" cy="314325"/>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6" cstate="print"/>
                    <a:stretch>
                      <a:fillRect/>
                    </a:stretch>
                  </pic:blipFill>
                  <pic:spPr>
                    <a:xfrm>
                      <a:off x="0" y="0"/>
                      <a:ext cx="4350677" cy="314325"/>
                    </a:xfrm>
                    <a:prstGeom prst="rect">
                      <a:avLst/>
                    </a:prstGeom>
                  </pic:spPr>
                </pic:pic>
              </a:graphicData>
            </a:graphic>
          </wp:anchor>
        </w:drawing>
      </w:r>
    </w:p>
    <w:p>
      <w:pPr>
        <w:spacing w:after="0"/>
        <w:rPr>
          <w:sz w:val="20"/>
        </w:rPr>
        <w:sectPr>
          <w:headerReference w:type="default" r:id="rId15"/>
          <w:footerReference w:type="default" r:id="rId16"/>
          <w:pgSz w:w="11910" w:h="16840"/>
          <w:pgMar w:header="638" w:footer="0" w:top="2340" w:bottom="280" w:left="1600" w:right="1680"/>
        </w:sectPr>
      </w:pPr>
    </w:p>
    <w:p>
      <w:pPr>
        <w:pStyle w:val="ListParagraph"/>
        <w:numPr>
          <w:ilvl w:val="0"/>
          <w:numId w:val="2"/>
        </w:numPr>
        <w:tabs>
          <w:tab w:pos="975" w:val="left" w:leader="none"/>
        </w:tabs>
        <w:spacing w:line="240" w:lineRule="auto" w:before="178" w:after="0"/>
        <w:ind w:left="975" w:right="0" w:hanging="177"/>
        <w:jc w:val="both"/>
        <w:rPr>
          <w:sz w:val="22"/>
        </w:rPr>
      </w:pPr>
      <w:r>
        <w:rPr>
          <w:sz w:val="22"/>
        </w:rPr>
        <w:t>Criterios</w:t>
      </w:r>
      <w:r>
        <w:rPr>
          <w:spacing w:val="-3"/>
          <w:sz w:val="22"/>
        </w:rPr>
        <w:t> </w:t>
      </w:r>
      <w:r>
        <w:rPr>
          <w:sz w:val="22"/>
        </w:rPr>
        <w:t>de</w:t>
      </w:r>
      <w:r>
        <w:rPr>
          <w:spacing w:val="-2"/>
          <w:sz w:val="22"/>
        </w:rPr>
        <w:t> valoración.</w:t>
      </w:r>
    </w:p>
    <w:p>
      <w:pPr>
        <w:pStyle w:val="ListParagraph"/>
        <w:numPr>
          <w:ilvl w:val="0"/>
          <w:numId w:val="2"/>
        </w:numPr>
        <w:tabs>
          <w:tab w:pos="1086" w:val="left" w:leader="none"/>
        </w:tabs>
        <w:spacing w:line="360" w:lineRule="auto" w:before="135" w:after="0"/>
        <w:ind w:left="102" w:right="734" w:firstLine="695"/>
        <w:jc w:val="both"/>
        <w:rPr>
          <w:sz w:val="22"/>
        </w:rPr>
      </w:pPr>
      <w:r>
        <w:rPr>
          <w:sz w:val="22"/>
        </w:rPr>
        <w:t>Órganos competentes para la ordenación, instrucción y resolución del procedimiento de concesión</w:t>
      </w:r>
      <w:r>
        <w:rPr>
          <w:spacing w:val="-1"/>
          <w:sz w:val="22"/>
        </w:rPr>
        <w:t> </w:t>
      </w:r>
      <w:r>
        <w:rPr>
          <w:sz w:val="22"/>
        </w:rPr>
        <w:t>de la subvención y el</w:t>
      </w:r>
      <w:r>
        <w:rPr>
          <w:spacing w:val="-1"/>
          <w:sz w:val="22"/>
        </w:rPr>
        <w:t> </w:t>
      </w:r>
      <w:r>
        <w:rPr>
          <w:sz w:val="22"/>
        </w:rPr>
        <w:t>plazo en que será notificada la resolución.</w:t>
      </w:r>
    </w:p>
    <w:p>
      <w:pPr>
        <w:pStyle w:val="ListParagraph"/>
        <w:numPr>
          <w:ilvl w:val="0"/>
          <w:numId w:val="2"/>
        </w:numPr>
        <w:tabs>
          <w:tab w:pos="1007" w:val="left" w:leader="none"/>
        </w:tabs>
        <w:spacing w:line="360" w:lineRule="auto" w:before="0" w:after="0"/>
        <w:ind w:left="102" w:right="734" w:firstLine="695"/>
        <w:jc w:val="both"/>
        <w:rPr>
          <w:sz w:val="22"/>
        </w:rPr>
      </w:pPr>
      <w:r>
        <w:rPr>
          <w:sz w:val="22"/>
        </w:rPr>
        <w:t>Plazo y forma de justificación por parte del beneficiario, del cumplimiento de la finalidad para la que se concedió la subvención y de la aplicación de los fondos percibidos.</w:t>
      </w:r>
    </w:p>
    <w:p>
      <w:pPr>
        <w:pStyle w:val="ListParagraph"/>
        <w:numPr>
          <w:ilvl w:val="0"/>
          <w:numId w:val="2"/>
        </w:numPr>
        <w:tabs>
          <w:tab w:pos="994" w:val="left" w:leader="none"/>
        </w:tabs>
        <w:spacing w:line="240" w:lineRule="auto" w:before="0" w:after="0"/>
        <w:ind w:left="994" w:right="0" w:hanging="196"/>
        <w:jc w:val="both"/>
        <w:rPr>
          <w:sz w:val="22"/>
        </w:rPr>
      </w:pPr>
      <w:r>
        <w:rPr>
          <w:sz w:val="22"/>
        </w:rPr>
        <w:t>Posibilidad</w:t>
      </w:r>
      <w:r>
        <w:rPr>
          <w:spacing w:val="11"/>
          <w:sz w:val="22"/>
        </w:rPr>
        <w:t> </w:t>
      </w:r>
      <w:r>
        <w:rPr>
          <w:sz w:val="22"/>
        </w:rPr>
        <w:t>de</w:t>
      </w:r>
      <w:r>
        <w:rPr>
          <w:spacing w:val="16"/>
          <w:sz w:val="22"/>
        </w:rPr>
        <w:t> </w:t>
      </w:r>
      <w:r>
        <w:rPr>
          <w:sz w:val="22"/>
        </w:rPr>
        <w:t>efectuar</w:t>
      </w:r>
      <w:r>
        <w:rPr>
          <w:spacing w:val="13"/>
          <w:sz w:val="22"/>
        </w:rPr>
        <w:t> </w:t>
      </w:r>
      <w:r>
        <w:rPr>
          <w:sz w:val="22"/>
        </w:rPr>
        <w:t>pagos</w:t>
      </w:r>
      <w:r>
        <w:rPr>
          <w:spacing w:val="15"/>
          <w:sz w:val="22"/>
        </w:rPr>
        <w:t> </w:t>
      </w:r>
      <w:r>
        <w:rPr>
          <w:sz w:val="22"/>
        </w:rPr>
        <w:t>anticipados</w:t>
      </w:r>
      <w:r>
        <w:rPr>
          <w:spacing w:val="15"/>
          <w:sz w:val="22"/>
        </w:rPr>
        <w:t> </w:t>
      </w:r>
      <w:r>
        <w:rPr>
          <w:sz w:val="22"/>
        </w:rPr>
        <w:t>y</w:t>
      </w:r>
      <w:r>
        <w:rPr>
          <w:spacing w:val="13"/>
          <w:sz w:val="22"/>
        </w:rPr>
        <w:t> </w:t>
      </w:r>
      <w:r>
        <w:rPr>
          <w:sz w:val="22"/>
        </w:rPr>
        <w:t>abonos</w:t>
      </w:r>
      <w:r>
        <w:rPr>
          <w:spacing w:val="15"/>
          <w:sz w:val="22"/>
        </w:rPr>
        <w:t> </w:t>
      </w:r>
      <w:r>
        <w:rPr>
          <w:sz w:val="22"/>
        </w:rPr>
        <w:t>a</w:t>
      </w:r>
      <w:r>
        <w:rPr>
          <w:spacing w:val="14"/>
          <w:sz w:val="22"/>
        </w:rPr>
        <w:t> </w:t>
      </w:r>
      <w:r>
        <w:rPr>
          <w:spacing w:val="-2"/>
          <w:sz w:val="22"/>
        </w:rPr>
        <w:t>cuenta.</w:t>
      </w:r>
    </w:p>
    <w:p>
      <w:pPr>
        <w:pStyle w:val="ListParagraph"/>
        <w:numPr>
          <w:ilvl w:val="0"/>
          <w:numId w:val="2"/>
        </w:numPr>
        <w:tabs>
          <w:tab w:pos="279" w:val="left" w:leader="none"/>
        </w:tabs>
        <w:spacing w:line="240" w:lineRule="auto" w:before="133" w:after="0"/>
        <w:ind w:left="279" w:right="0" w:hanging="177"/>
        <w:jc w:val="both"/>
        <w:rPr>
          <w:sz w:val="22"/>
        </w:rPr>
      </w:pPr>
      <w:r>
        <w:rPr>
          <w:sz w:val="22"/>
        </w:rPr>
        <w:t>Medidas</w:t>
      </w:r>
      <w:r>
        <w:rPr>
          <w:spacing w:val="-4"/>
          <w:sz w:val="22"/>
        </w:rPr>
        <w:t> </w:t>
      </w:r>
      <w:r>
        <w:rPr>
          <w:sz w:val="22"/>
        </w:rPr>
        <w:t>de</w:t>
      </w:r>
      <w:r>
        <w:rPr>
          <w:spacing w:val="-3"/>
          <w:sz w:val="22"/>
        </w:rPr>
        <w:t> </w:t>
      </w:r>
      <w:r>
        <w:rPr>
          <w:sz w:val="22"/>
        </w:rPr>
        <w:t>garantía</w:t>
      </w:r>
      <w:r>
        <w:rPr>
          <w:spacing w:val="-4"/>
          <w:sz w:val="22"/>
        </w:rPr>
        <w:t> </w:t>
      </w:r>
      <w:r>
        <w:rPr>
          <w:sz w:val="22"/>
        </w:rPr>
        <w:t>que,</w:t>
      </w:r>
      <w:r>
        <w:rPr>
          <w:spacing w:val="-3"/>
          <w:sz w:val="22"/>
        </w:rPr>
        <w:t> </w:t>
      </w:r>
      <w:r>
        <w:rPr>
          <w:sz w:val="22"/>
        </w:rPr>
        <w:t>en</w:t>
      </w:r>
      <w:r>
        <w:rPr>
          <w:spacing w:val="-3"/>
          <w:sz w:val="22"/>
        </w:rPr>
        <w:t> </w:t>
      </w:r>
      <w:r>
        <w:rPr>
          <w:sz w:val="22"/>
        </w:rPr>
        <w:t>su</w:t>
      </w:r>
      <w:r>
        <w:rPr>
          <w:spacing w:val="-4"/>
          <w:sz w:val="22"/>
        </w:rPr>
        <w:t> </w:t>
      </w:r>
      <w:r>
        <w:rPr>
          <w:sz w:val="22"/>
        </w:rPr>
        <w:t>caso,</w:t>
      </w:r>
      <w:r>
        <w:rPr>
          <w:spacing w:val="-2"/>
          <w:sz w:val="22"/>
        </w:rPr>
        <w:t> procedan.</w:t>
      </w:r>
    </w:p>
    <w:p>
      <w:pPr>
        <w:pStyle w:val="ListParagraph"/>
        <w:numPr>
          <w:ilvl w:val="1"/>
          <w:numId w:val="2"/>
        </w:numPr>
        <w:tabs>
          <w:tab w:pos="1016" w:val="left" w:leader="none"/>
        </w:tabs>
        <w:spacing w:line="362" w:lineRule="auto" w:before="133" w:after="0"/>
        <w:ind w:left="102" w:right="732" w:firstLine="695"/>
        <w:jc w:val="both"/>
        <w:rPr>
          <w:sz w:val="22"/>
        </w:rPr>
      </w:pPr>
      <w:r>
        <w:rPr>
          <w:sz w:val="22"/>
        </w:rPr>
        <w:t>Compatibilidad o incompatibilidad con otras subvenciones o ayudas para la misma finalidad.</w:t>
      </w:r>
    </w:p>
    <w:p>
      <w:pPr>
        <w:pStyle w:val="ListParagraph"/>
        <w:numPr>
          <w:ilvl w:val="1"/>
          <w:numId w:val="2"/>
        </w:numPr>
        <w:tabs>
          <w:tab w:pos="983" w:val="left" w:leader="none"/>
        </w:tabs>
        <w:spacing w:line="360" w:lineRule="auto" w:before="0" w:after="0"/>
        <w:ind w:left="102" w:right="731" w:firstLine="695"/>
        <w:jc w:val="both"/>
        <w:rPr>
          <w:sz w:val="22"/>
        </w:rPr>
      </w:pPr>
      <w:r>
        <w:rPr>
          <w:sz w:val="22"/>
        </w:rPr>
        <w:t>Criterios de evaluación de los posibles incumplimientos de las condiciones impuestas con motivo de la concesión.</w:t>
      </w:r>
    </w:p>
    <w:p>
      <w:pPr>
        <w:pStyle w:val="Heading1"/>
        <w:spacing w:before="263"/>
        <w:jc w:val="both"/>
      </w:pPr>
      <w:r>
        <w:rPr/>
        <w:t>ARTÍCULO</w:t>
      </w:r>
      <w:r>
        <w:rPr>
          <w:spacing w:val="-7"/>
        </w:rPr>
        <w:t> </w:t>
      </w:r>
      <w:r>
        <w:rPr/>
        <w:t>11.</w:t>
      </w:r>
      <w:r>
        <w:rPr>
          <w:spacing w:val="-4"/>
        </w:rPr>
        <w:t> </w:t>
      </w:r>
      <w:r>
        <w:rPr/>
        <w:t>CONCESIÓN</w:t>
      </w:r>
      <w:r>
        <w:rPr>
          <w:spacing w:val="-4"/>
        </w:rPr>
        <w:t> </w:t>
      </w:r>
      <w:r>
        <w:rPr>
          <w:spacing w:val="-2"/>
        </w:rPr>
        <w:t>DIRECTA</w:t>
      </w:r>
    </w:p>
    <w:p>
      <w:pPr>
        <w:pStyle w:val="BodyText"/>
        <w:spacing w:before="266"/>
        <w:rPr>
          <w:b/>
        </w:rPr>
      </w:pPr>
    </w:p>
    <w:p>
      <w:pPr>
        <w:pStyle w:val="BodyText"/>
        <w:spacing w:line="362" w:lineRule="auto" w:before="1"/>
        <w:ind w:left="102" w:right="737" w:firstLine="695"/>
        <w:jc w:val="both"/>
      </w:pPr>
      <w:r>
        <w:rPr/>
        <w:t>Podrán concederse de forma directa las siguientes </w:t>
      </w:r>
      <w:r>
        <w:rPr>
          <w:spacing w:val="-2"/>
        </w:rPr>
        <w:t>subvenciones:</w:t>
      </w:r>
    </w:p>
    <w:p>
      <w:pPr>
        <w:pStyle w:val="ListParagraph"/>
        <w:numPr>
          <w:ilvl w:val="1"/>
          <w:numId w:val="2"/>
        </w:numPr>
        <w:tabs>
          <w:tab w:pos="1048" w:val="left" w:leader="none"/>
        </w:tabs>
        <w:spacing w:line="360" w:lineRule="auto" w:before="263" w:after="0"/>
        <w:ind w:left="102" w:right="735" w:firstLine="695"/>
        <w:jc w:val="both"/>
        <w:rPr>
          <w:sz w:val="22"/>
        </w:rPr>
      </w:pPr>
      <w:r>
        <w:rPr>
          <w:sz w:val="22"/>
        </w:rPr>
        <w:t>Las previstas nominativamente en el presupuesto, en los términos recogidos en los convenios y en la normativa reguladora de estas subvenciones.</w:t>
      </w:r>
    </w:p>
    <w:p>
      <w:pPr>
        <w:pStyle w:val="ListParagraph"/>
        <w:numPr>
          <w:ilvl w:val="1"/>
          <w:numId w:val="2"/>
        </w:numPr>
        <w:tabs>
          <w:tab w:pos="1019" w:val="left" w:leader="none"/>
        </w:tabs>
        <w:spacing w:line="360" w:lineRule="auto" w:before="0" w:after="0"/>
        <w:ind w:left="102" w:right="735" w:firstLine="695"/>
        <w:jc w:val="both"/>
        <w:rPr>
          <w:sz w:val="22"/>
        </w:rPr>
      </w:pPr>
      <w:r>
        <w:rPr>
          <w:sz w:val="22"/>
        </w:rPr>
        <w:t>Aquellas cuyo otorgamiento o cuantía venga impuesto a la Administración por una norma de rango legal, que seguirán el procedimiento de concesión que les resulte de aplicación de acuerdo con su propia normativa.</w:t>
      </w:r>
    </w:p>
    <w:p>
      <w:pPr>
        <w:pStyle w:val="ListParagraph"/>
        <w:numPr>
          <w:ilvl w:val="1"/>
          <w:numId w:val="2"/>
        </w:numPr>
        <w:tabs>
          <w:tab w:pos="981" w:val="left" w:leader="none"/>
        </w:tabs>
        <w:spacing w:line="360" w:lineRule="auto" w:before="0" w:after="0"/>
        <w:ind w:left="102" w:right="734" w:firstLine="695"/>
        <w:jc w:val="both"/>
        <w:rPr>
          <w:sz w:val="22"/>
        </w:rPr>
      </w:pPr>
      <w:r>
        <w:rPr>
          <w:sz w:val="22"/>
        </w:rPr>
        <w:t>Con carácter excepcional, aquellas otras subvenciones en que se acrediten razones de interés público, social, económico o humanitario, u otras para las que quede debidamente acreditada la dificultad de su convocatoria pública. Los convenios serán el instrumento habitual para canalizar las subvenciones de concesión directa.</w:t>
      </w:r>
      <w:r>
        <w:rPr>
          <w:spacing w:val="44"/>
          <w:sz w:val="22"/>
        </w:rPr>
        <w:t> </w:t>
      </w:r>
      <w:r>
        <w:rPr>
          <w:sz w:val="22"/>
        </w:rPr>
        <w:t>En</w:t>
      </w:r>
      <w:r>
        <w:rPr>
          <w:spacing w:val="43"/>
          <w:sz w:val="22"/>
        </w:rPr>
        <w:t> </w:t>
      </w:r>
      <w:r>
        <w:rPr>
          <w:sz w:val="22"/>
        </w:rPr>
        <w:t>ellos</w:t>
      </w:r>
      <w:r>
        <w:rPr>
          <w:spacing w:val="43"/>
          <w:sz w:val="22"/>
        </w:rPr>
        <w:t> </w:t>
      </w:r>
      <w:r>
        <w:rPr>
          <w:sz w:val="22"/>
        </w:rPr>
        <w:t>se</w:t>
      </w:r>
      <w:r>
        <w:rPr>
          <w:spacing w:val="44"/>
          <w:sz w:val="22"/>
        </w:rPr>
        <w:t> </w:t>
      </w:r>
      <w:r>
        <w:rPr>
          <w:sz w:val="22"/>
        </w:rPr>
        <w:t>regularán</w:t>
      </w:r>
      <w:r>
        <w:rPr>
          <w:spacing w:val="42"/>
          <w:sz w:val="22"/>
        </w:rPr>
        <w:t> </w:t>
      </w:r>
      <w:r>
        <w:rPr>
          <w:sz w:val="22"/>
        </w:rPr>
        <w:t>las</w:t>
      </w:r>
      <w:r>
        <w:rPr>
          <w:spacing w:val="44"/>
          <w:sz w:val="22"/>
        </w:rPr>
        <w:t> </w:t>
      </w:r>
      <w:r>
        <w:rPr>
          <w:sz w:val="22"/>
        </w:rPr>
        <w:t>condiciones</w:t>
      </w:r>
      <w:r>
        <w:rPr>
          <w:spacing w:val="43"/>
          <w:sz w:val="22"/>
        </w:rPr>
        <w:t> </w:t>
      </w:r>
      <w:r>
        <w:rPr>
          <w:sz w:val="22"/>
        </w:rPr>
        <w:t>para</w:t>
      </w:r>
      <w:r>
        <w:rPr>
          <w:spacing w:val="42"/>
          <w:sz w:val="22"/>
        </w:rPr>
        <w:t> </w:t>
      </w:r>
      <w:r>
        <w:rPr>
          <w:sz w:val="22"/>
        </w:rPr>
        <w:t>la</w:t>
      </w:r>
      <w:r>
        <w:rPr>
          <w:spacing w:val="43"/>
          <w:sz w:val="22"/>
        </w:rPr>
        <w:t> </w:t>
      </w:r>
      <w:r>
        <w:rPr>
          <w:sz w:val="22"/>
        </w:rPr>
        <w:t>concesión</w:t>
      </w:r>
      <w:r>
        <w:rPr>
          <w:spacing w:val="43"/>
          <w:sz w:val="22"/>
        </w:rPr>
        <w:t> </w:t>
      </w:r>
      <w:r>
        <w:rPr>
          <w:spacing w:val="-5"/>
          <w:sz w:val="22"/>
        </w:rPr>
        <w:t>de</w:t>
      </w:r>
    </w:p>
    <w:p>
      <w:pPr>
        <w:spacing w:after="0" w:line="360" w:lineRule="auto"/>
        <w:jc w:val="both"/>
        <w:rPr>
          <w:sz w:val="22"/>
        </w:rPr>
        <w:sectPr>
          <w:headerReference w:type="default" r:id="rId17"/>
          <w:footerReference w:type="default" r:id="rId18"/>
          <w:pgSz w:w="11910" w:h="16840"/>
          <w:pgMar w:header="638" w:footer="825" w:top="2340" w:bottom="1020" w:left="1600" w:right="1680"/>
        </w:sectPr>
      </w:pPr>
    </w:p>
    <w:p>
      <w:pPr>
        <w:pStyle w:val="BodyText"/>
        <w:spacing w:line="362" w:lineRule="auto" w:before="178"/>
        <w:ind w:left="102" w:right="735"/>
      </w:pPr>
      <w:r>
        <w:rPr/>
        <w:t>estas subvenciones, de conformidad con lo previsto al respecto en la LGS y en las Bases de Ejecución del presupuesto.</w:t>
      </w:r>
    </w:p>
    <w:p>
      <w:pPr>
        <w:spacing w:before="262"/>
        <w:ind w:left="3491" w:right="0" w:firstLine="0"/>
        <w:jc w:val="left"/>
        <w:rPr>
          <w:b/>
          <w:sz w:val="22"/>
        </w:rPr>
      </w:pPr>
      <w:r>
        <w:rPr>
          <w:b/>
          <w:sz w:val="22"/>
        </w:rPr>
        <w:t>CAPÍTULO</w:t>
      </w:r>
      <w:r>
        <w:rPr>
          <w:b/>
          <w:spacing w:val="-7"/>
          <w:sz w:val="22"/>
        </w:rPr>
        <w:t> </w:t>
      </w:r>
      <w:r>
        <w:rPr>
          <w:b/>
          <w:spacing w:val="-5"/>
          <w:sz w:val="22"/>
        </w:rPr>
        <w:t>III</w:t>
      </w:r>
    </w:p>
    <w:p>
      <w:pPr>
        <w:spacing w:line="360" w:lineRule="auto" w:before="134"/>
        <w:ind w:left="1532" w:right="363" w:hanging="516"/>
        <w:jc w:val="left"/>
        <w:rPr>
          <w:b/>
          <w:sz w:val="22"/>
        </w:rPr>
      </w:pPr>
      <w:r>
        <w:rPr>
          <w:b/>
          <w:sz w:val="22"/>
        </w:rPr>
        <w:t>EFECTOS</w:t>
      </w:r>
      <w:r>
        <w:rPr>
          <w:b/>
          <w:spacing w:val="-7"/>
          <w:sz w:val="22"/>
        </w:rPr>
        <w:t> </w:t>
      </w:r>
      <w:r>
        <w:rPr>
          <w:b/>
          <w:sz w:val="22"/>
        </w:rPr>
        <w:t>DEL</w:t>
      </w:r>
      <w:r>
        <w:rPr>
          <w:b/>
          <w:spacing w:val="-6"/>
          <w:sz w:val="22"/>
        </w:rPr>
        <w:t> </w:t>
      </w:r>
      <w:r>
        <w:rPr>
          <w:b/>
          <w:sz w:val="22"/>
        </w:rPr>
        <w:t>PLAN,</w:t>
      </w:r>
      <w:r>
        <w:rPr>
          <w:b/>
          <w:spacing w:val="-7"/>
          <w:sz w:val="22"/>
        </w:rPr>
        <w:t> </w:t>
      </w:r>
      <w:r>
        <w:rPr>
          <w:b/>
          <w:sz w:val="22"/>
        </w:rPr>
        <w:t>PLAZOS</w:t>
      </w:r>
      <w:r>
        <w:rPr>
          <w:b/>
          <w:spacing w:val="-8"/>
          <w:sz w:val="22"/>
        </w:rPr>
        <w:t> </w:t>
      </w:r>
      <w:r>
        <w:rPr>
          <w:b/>
          <w:sz w:val="22"/>
        </w:rPr>
        <w:t>PARA</w:t>
      </w:r>
      <w:r>
        <w:rPr>
          <w:b/>
          <w:spacing w:val="-7"/>
          <w:sz w:val="22"/>
        </w:rPr>
        <w:t> </w:t>
      </w:r>
      <w:r>
        <w:rPr>
          <w:b/>
          <w:sz w:val="22"/>
        </w:rPr>
        <w:t>SU</w:t>
      </w:r>
      <w:r>
        <w:rPr>
          <w:b/>
          <w:spacing w:val="-4"/>
          <w:sz w:val="22"/>
        </w:rPr>
        <w:t> </w:t>
      </w:r>
      <w:r>
        <w:rPr>
          <w:b/>
          <w:sz w:val="22"/>
        </w:rPr>
        <w:t>CONSECUCIÓN, COSTES PREVISIBLES Y FINANCIACIÓN</w:t>
      </w:r>
    </w:p>
    <w:p>
      <w:pPr>
        <w:pStyle w:val="BodyText"/>
        <w:spacing w:before="1"/>
        <w:rPr>
          <w:b/>
        </w:rPr>
      </w:pPr>
    </w:p>
    <w:p>
      <w:pPr>
        <w:spacing w:before="0"/>
        <w:ind w:left="798" w:right="0" w:firstLine="0"/>
        <w:jc w:val="left"/>
        <w:rPr>
          <w:b/>
          <w:sz w:val="22"/>
        </w:rPr>
      </w:pPr>
      <w:r>
        <w:rPr>
          <w:b/>
          <w:sz w:val="22"/>
        </w:rPr>
        <w:t>ARTÍCULO</w:t>
      </w:r>
      <w:r>
        <w:rPr>
          <w:b/>
          <w:spacing w:val="-5"/>
          <w:sz w:val="22"/>
        </w:rPr>
        <w:t> </w:t>
      </w:r>
      <w:r>
        <w:rPr>
          <w:b/>
          <w:sz w:val="22"/>
        </w:rPr>
        <w:t>12.</w:t>
      </w:r>
      <w:r>
        <w:rPr>
          <w:b/>
          <w:spacing w:val="-3"/>
          <w:sz w:val="22"/>
        </w:rPr>
        <w:t> </w:t>
      </w:r>
      <w:r>
        <w:rPr>
          <w:b/>
          <w:spacing w:val="-2"/>
          <w:sz w:val="22"/>
        </w:rPr>
        <w:t>EFECTOS</w:t>
      </w:r>
    </w:p>
    <w:p>
      <w:pPr>
        <w:pStyle w:val="BodyText"/>
        <w:rPr>
          <w:b/>
        </w:rPr>
      </w:pPr>
    </w:p>
    <w:p>
      <w:pPr>
        <w:pStyle w:val="BodyText"/>
        <w:rPr>
          <w:b/>
        </w:rPr>
      </w:pPr>
    </w:p>
    <w:p>
      <w:pPr>
        <w:pStyle w:val="BodyText"/>
        <w:spacing w:line="360" w:lineRule="auto"/>
        <w:ind w:left="102" w:right="733" w:firstLine="695"/>
        <w:jc w:val="both"/>
      </w:pPr>
      <w:r>
        <w:rPr/>
        <w:t>Fomentar la realización de actividades de interés general, así como la colaboración entre esta entidad local y los particulares para</w:t>
      </w:r>
      <w:r>
        <w:rPr>
          <w:spacing w:val="40"/>
        </w:rPr>
        <w:t> </w:t>
      </w:r>
      <w:r>
        <w:rPr/>
        <w:t>la gestión de actividades de interés público.</w:t>
      </w:r>
    </w:p>
    <w:p>
      <w:pPr>
        <w:pStyle w:val="BodyText"/>
      </w:pPr>
    </w:p>
    <w:p>
      <w:pPr>
        <w:pStyle w:val="BodyText"/>
        <w:spacing w:line="360" w:lineRule="auto" w:before="1"/>
        <w:ind w:left="102" w:right="729" w:firstLine="695"/>
        <w:jc w:val="both"/>
      </w:pPr>
      <w:r>
        <w:rPr/>
        <w:t>Impulsar, promover y potenciar la participación de la sociedad civil de nuestra ciudad en los distintos ámbitos de gestión municipal de interés concurrente, así como promocionar la inclusión social de</w:t>
      </w:r>
      <w:r>
        <w:rPr>
          <w:spacing w:val="40"/>
        </w:rPr>
        <w:t> </w:t>
      </w:r>
      <w:r>
        <w:rPr/>
        <w:t>los individuos mediante ayudas económicas a aquellos ciudadanos</w:t>
      </w:r>
      <w:r>
        <w:rPr>
          <w:spacing w:val="40"/>
        </w:rPr>
        <w:t> </w:t>
      </w:r>
      <w:r>
        <w:rPr/>
        <w:t>que se encuentren en determinadas situaciones de vulnerabilidad social, en defensa del principio de igualdad de oportunidades.</w:t>
      </w:r>
    </w:p>
    <w:p>
      <w:pPr>
        <w:pStyle w:val="BodyText"/>
      </w:pPr>
    </w:p>
    <w:p>
      <w:pPr>
        <w:pStyle w:val="BodyText"/>
        <w:spacing w:line="360" w:lineRule="auto"/>
        <w:ind w:left="102" w:right="735" w:firstLine="695"/>
        <w:jc w:val="both"/>
      </w:pPr>
      <w:r>
        <w:rPr/>
        <w:t>Todo ello a través de las líneas estratégicas de actuación que, para el ejercicio 2024, se recogen en el documento anexo al</w:t>
      </w:r>
      <w:r>
        <w:rPr>
          <w:spacing w:val="40"/>
        </w:rPr>
        <w:t> </w:t>
      </w:r>
      <w:r>
        <w:rPr/>
        <w:t>presente, denominado “Anexo al Plan Estratégico de Subvenciones. Anualidad 2024”.</w:t>
      </w:r>
    </w:p>
    <w:p>
      <w:pPr>
        <w:pStyle w:val="BodyText"/>
      </w:pPr>
    </w:p>
    <w:p>
      <w:pPr>
        <w:pStyle w:val="BodyText"/>
        <w:spacing w:line="360" w:lineRule="auto"/>
        <w:ind w:left="102" w:right="733" w:firstLine="695"/>
        <w:jc w:val="both"/>
      </w:pPr>
      <w:r>
        <w:rPr/>
        <w:t>La aprobación del Plan Estratégico de Subvenciones no supone la generación de derecho alguno a favor de los potenciales beneficiarios, que no podrán exigir indemnización o compensación alguna en caso de que el plan no se lleve a la práctica en sus propios </w:t>
      </w:r>
      <w:r>
        <w:rPr>
          <w:spacing w:val="-2"/>
        </w:rPr>
        <w:t>términos.</w:t>
      </w:r>
    </w:p>
    <w:p>
      <w:pPr>
        <w:spacing w:after="0" w:line="360" w:lineRule="auto"/>
        <w:jc w:val="both"/>
        <w:sectPr>
          <w:pgSz w:w="11910" w:h="16840"/>
          <w:pgMar w:header="638" w:footer="825" w:top="2340" w:bottom="1020" w:left="1600" w:right="1680"/>
        </w:sectPr>
      </w:pPr>
    </w:p>
    <w:p>
      <w:pPr>
        <w:pStyle w:val="BodyText"/>
      </w:pPr>
    </w:p>
    <w:p>
      <w:pPr>
        <w:pStyle w:val="BodyText"/>
        <w:spacing w:before="46"/>
      </w:pPr>
    </w:p>
    <w:p>
      <w:pPr>
        <w:pStyle w:val="Heading1"/>
      </w:pPr>
      <w:r>
        <w:rPr/>
        <w:t>ARTÍCULO</w:t>
      </w:r>
      <w:r>
        <w:rPr>
          <w:spacing w:val="-5"/>
        </w:rPr>
        <w:t> </w:t>
      </w:r>
      <w:r>
        <w:rPr/>
        <w:t>13.</w:t>
      </w:r>
      <w:r>
        <w:rPr>
          <w:spacing w:val="-4"/>
        </w:rPr>
        <w:t> </w:t>
      </w:r>
      <w:r>
        <w:rPr>
          <w:spacing w:val="-2"/>
        </w:rPr>
        <w:t>PLAZOS</w:t>
      </w:r>
    </w:p>
    <w:p>
      <w:pPr>
        <w:pStyle w:val="BodyText"/>
        <w:spacing w:before="132"/>
        <w:rPr>
          <w:b/>
        </w:rPr>
      </w:pPr>
    </w:p>
    <w:p>
      <w:pPr>
        <w:pStyle w:val="BodyText"/>
        <w:spacing w:line="360" w:lineRule="auto"/>
        <w:ind w:left="102" w:right="735" w:firstLine="695"/>
        <w:jc w:val="both"/>
      </w:pPr>
      <w:r>
        <w:rPr/>
        <w:t>Con carácter general, el plazo de desarrollo de las</w:t>
      </w:r>
      <w:r>
        <w:rPr>
          <w:spacing w:val="40"/>
        </w:rPr>
        <w:t> </w:t>
      </w:r>
      <w:r>
        <w:rPr/>
        <w:t>subvenciones será el que se establezca en las bases de la convocatoria, en el acuerdo de concesión, en su caso, en el correspondiente convenio, o en el documento que proceda.</w:t>
      </w:r>
    </w:p>
    <w:p>
      <w:pPr>
        <w:pStyle w:val="BodyText"/>
        <w:spacing w:before="136"/>
      </w:pPr>
    </w:p>
    <w:p>
      <w:pPr>
        <w:pStyle w:val="Heading1"/>
      </w:pPr>
      <w:r>
        <w:rPr/>
        <w:t>ARTÍCULO</w:t>
      </w:r>
      <w:r>
        <w:rPr>
          <w:spacing w:val="-6"/>
        </w:rPr>
        <w:t> </w:t>
      </w:r>
      <w:r>
        <w:rPr/>
        <w:t>14.</w:t>
      </w:r>
      <w:r>
        <w:rPr>
          <w:spacing w:val="-6"/>
        </w:rPr>
        <w:t> </w:t>
      </w:r>
      <w:r>
        <w:rPr/>
        <w:t>COSTES</w:t>
      </w:r>
      <w:r>
        <w:rPr>
          <w:spacing w:val="-5"/>
        </w:rPr>
        <w:t> </w:t>
      </w:r>
      <w:r>
        <w:rPr>
          <w:spacing w:val="-2"/>
        </w:rPr>
        <w:t>PREVISIBLES</w:t>
      </w:r>
    </w:p>
    <w:p>
      <w:pPr>
        <w:pStyle w:val="BodyText"/>
        <w:spacing w:before="132"/>
        <w:rPr>
          <w:b/>
        </w:rPr>
      </w:pPr>
    </w:p>
    <w:p>
      <w:pPr>
        <w:pStyle w:val="BodyText"/>
        <w:spacing w:line="360" w:lineRule="auto"/>
        <w:ind w:left="102" w:right="733" w:firstLine="695"/>
        <w:jc w:val="both"/>
      </w:pPr>
      <w:r>
        <w:rPr/>
        <w:t>El establecimiento efectivo de las subvenciones previstas en este Plan Estratégico requerirá la inclusión de los créditos correspondientes en el presupuesto de cada año y la aprobación, en su caso, de las bases que rijan la convocatoria de subvenciones, o,</w:t>
      </w:r>
      <w:r>
        <w:rPr>
          <w:spacing w:val="80"/>
        </w:rPr>
        <w:t> </w:t>
      </w:r>
      <w:r>
        <w:rPr/>
        <w:t>en casos específicos, de las Ordenanzas que contengan las bases reguladoras de su concesión, o el acuerdo que apruebe la concesión </w:t>
      </w:r>
      <w:r>
        <w:rPr>
          <w:spacing w:val="-2"/>
        </w:rPr>
        <w:t>directa.</w:t>
      </w:r>
    </w:p>
    <w:p>
      <w:pPr>
        <w:pStyle w:val="BodyText"/>
      </w:pPr>
    </w:p>
    <w:p>
      <w:pPr>
        <w:pStyle w:val="BodyText"/>
        <w:spacing w:line="360" w:lineRule="auto"/>
        <w:ind w:left="102" w:right="731" w:firstLine="695"/>
        <w:jc w:val="both"/>
      </w:pPr>
      <w:r>
        <w:rPr/>
        <w:t>Toda concesión de subvención queda supeditada al cumplimiento del principio de estabilidad presupuestaria y de la regla de gasto.</w:t>
      </w:r>
    </w:p>
    <w:p>
      <w:pPr>
        <w:pStyle w:val="BodyText"/>
        <w:spacing w:before="1"/>
      </w:pPr>
    </w:p>
    <w:p>
      <w:pPr>
        <w:pStyle w:val="BodyText"/>
        <w:spacing w:line="360" w:lineRule="auto"/>
        <w:ind w:left="102" w:right="735" w:firstLine="695"/>
        <w:jc w:val="both"/>
      </w:pPr>
      <w:r>
        <w:rPr/>
        <w:t>Los costes en cada caso se limitan a la cantidad que anualmente se fije en el presupuesto del Ayuntamiento de Gáldar.</w:t>
      </w:r>
    </w:p>
    <w:p>
      <w:pPr>
        <w:pStyle w:val="BodyText"/>
        <w:spacing w:before="1"/>
      </w:pPr>
    </w:p>
    <w:p>
      <w:pPr>
        <w:pStyle w:val="BodyText"/>
        <w:spacing w:line="360" w:lineRule="auto"/>
        <w:ind w:left="102" w:right="735" w:firstLine="695"/>
        <w:jc w:val="both"/>
      </w:pPr>
      <w:r>
        <w:rPr/>
        <w:t>En todo caso, los créditos tienen carácter limitativo y vinculante, por lo que no podrán adquirirse compromisos de gasto superiores a su importe.</w:t>
      </w:r>
    </w:p>
    <w:p>
      <w:pPr>
        <w:pStyle w:val="Heading1"/>
        <w:spacing w:before="266"/>
      </w:pPr>
      <w:r>
        <w:rPr/>
        <w:t>ARTÍCULO</w:t>
      </w:r>
      <w:r>
        <w:rPr>
          <w:spacing w:val="-5"/>
        </w:rPr>
        <w:t> </w:t>
      </w:r>
      <w:r>
        <w:rPr/>
        <w:t>15.</w:t>
      </w:r>
      <w:r>
        <w:rPr>
          <w:spacing w:val="-4"/>
        </w:rPr>
        <w:t> </w:t>
      </w:r>
      <w:r>
        <w:rPr>
          <w:spacing w:val="-2"/>
        </w:rPr>
        <w:t>FINANCIACIÓN</w:t>
      </w:r>
    </w:p>
    <w:p>
      <w:pPr>
        <w:pStyle w:val="BodyText"/>
        <w:spacing w:before="135"/>
        <w:rPr>
          <w:b/>
        </w:rPr>
      </w:pPr>
    </w:p>
    <w:p>
      <w:pPr>
        <w:pStyle w:val="BodyText"/>
        <w:spacing w:line="360" w:lineRule="auto"/>
        <w:ind w:left="102" w:right="733" w:firstLine="695"/>
        <w:jc w:val="both"/>
      </w:pPr>
      <w:r>
        <w:rPr/>
        <w:t>Las Subvenciones a que hace referencia este Plan Estratégico se financian con crédito del presupuesto del Ayuntamiento de Gáldar, consignado</w:t>
      </w:r>
      <w:r>
        <w:rPr>
          <w:spacing w:val="63"/>
        </w:rPr>
        <w:t> </w:t>
      </w:r>
      <w:r>
        <w:rPr/>
        <w:t>para</w:t>
      </w:r>
      <w:r>
        <w:rPr>
          <w:spacing w:val="62"/>
        </w:rPr>
        <w:t> </w:t>
      </w:r>
      <w:r>
        <w:rPr/>
        <w:t>2024</w:t>
      </w:r>
      <w:r>
        <w:rPr>
          <w:spacing w:val="64"/>
        </w:rPr>
        <w:t> </w:t>
      </w:r>
      <w:r>
        <w:rPr/>
        <w:t>en</w:t>
      </w:r>
      <w:r>
        <w:rPr>
          <w:spacing w:val="63"/>
        </w:rPr>
        <w:t> </w:t>
      </w:r>
      <w:r>
        <w:rPr/>
        <w:t>las</w:t>
      </w:r>
      <w:r>
        <w:rPr>
          <w:spacing w:val="63"/>
        </w:rPr>
        <w:t> </w:t>
      </w:r>
      <w:r>
        <w:rPr/>
        <w:t>aplicaciones</w:t>
      </w:r>
      <w:r>
        <w:rPr>
          <w:spacing w:val="63"/>
        </w:rPr>
        <w:t> </w:t>
      </w:r>
      <w:r>
        <w:rPr/>
        <w:t>presupuestarias</w:t>
      </w:r>
      <w:r>
        <w:rPr>
          <w:spacing w:val="63"/>
        </w:rPr>
        <w:t> </w:t>
      </w:r>
      <w:r>
        <w:rPr/>
        <w:t>que</w:t>
      </w:r>
      <w:r>
        <w:rPr>
          <w:spacing w:val="63"/>
        </w:rPr>
        <w:t> </w:t>
      </w:r>
      <w:r>
        <w:rPr>
          <w:spacing w:val="-5"/>
        </w:rPr>
        <w:t>se</w:t>
      </w:r>
    </w:p>
    <w:p>
      <w:pPr>
        <w:spacing w:after="0" w:line="360" w:lineRule="auto"/>
        <w:jc w:val="both"/>
        <w:sectPr>
          <w:pgSz w:w="11910" w:h="16840"/>
          <w:pgMar w:header="638" w:footer="825" w:top="2340" w:bottom="1020" w:left="1600" w:right="1680"/>
        </w:sectPr>
      </w:pPr>
    </w:p>
    <w:p>
      <w:pPr>
        <w:pStyle w:val="BodyText"/>
        <w:spacing w:line="362" w:lineRule="auto" w:before="178"/>
        <w:ind w:left="102"/>
      </w:pPr>
      <w:r>
        <w:rPr/>
        <w:t>especifican</w:t>
      </w:r>
      <w:r>
        <w:rPr>
          <w:spacing w:val="34"/>
        </w:rPr>
        <w:t> </w:t>
      </w:r>
      <w:r>
        <w:rPr/>
        <w:t>para</w:t>
      </w:r>
      <w:r>
        <w:rPr>
          <w:spacing w:val="35"/>
        </w:rPr>
        <w:t> </w:t>
      </w:r>
      <w:r>
        <w:rPr/>
        <w:t>cada</w:t>
      </w:r>
      <w:r>
        <w:rPr>
          <w:spacing w:val="35"/>
        </w:rPr>
        <w:t> </w:t>
      </w:r>
      <w:r>
        <w:rPr/>
        <w:t>caso</w:t>
      </w:r>
      <w:r>
        <w:rPr>
          <w:spacing w:val="35"/>
        </w:rPr>
        <w:t> </w:t>
      </w:r>
      <w:r>
        <w:rPr/>
        <w:t>en</w:t>
      </w:r>
      <w:r>
        <w:rPr>
          <w:spacing w:val="35"/>
        </w:rPr>
        <w:t> </w:t>
      </w:r>
      <w:r>
        <w:rPr/>
        <w:t>el</w:t>
      </w:r>
      <w:r>
        <w:rPr>
          <w:spacing w:val="35"/>
        </w:rPr>
        <w:t> </w:t>
      </w:r>
      <w:r>
        <w:rPr/>
        <w:t>anexo</w:t>
      </w:r>
      <w:r>
        <w:rPr>
          <w:spacing w:val="40"/>
        </w:rPr>
        <w:t> </w:t>
      </w:r>
      <w:r>
        <w:rPr/>
        <w:t>denominado</w:t>
      </w:r>
      <w:r>
        <w:rPr>
          <w:spacing w:val="35"/>
        </w:rPr>
        <w:t> </w:t>
      </w:r>
      <w:r>
        <w:rPr/>
        <w:t>“desglose</w:t>
      </w:r>
      <w:r>
        <w:rPr>
          <w:spacing w:val="36"/>
        </w:rPr>
        <w:t> </w:t>
      </w:r>
      <w:r>
        <w:rPr/>
        <w:t>plan estratégico de subvenciones”.</w:t>
      </w:r>
    </w:p>
    <w:p>
      <w:pPr>
        <w:pStyle w:val="Heading1"/>
        <w:spacing w:before="262"/>
        <w:ind w:left="99" w:right="38"/>
        <w:jc w:val="center"/>
      </w:pPr>
      <w:r>
        <w:rPr/>
        <w:t>CAPÍTULO</w:t>
      </w:r>
      <w:r>
        <w:rPr>
          <w:spacing w:val="-7"/>
        </w:rPr>
        <w:t> </w:t>
      </w:r>
      <w:r>
        <w:rPr>
          <w:spacing w:val="-5"/>
        </w:rPr>
        <w:t>IV</w:t>
      </w:r>
    </w:p>
    <w:p>
      <w:pPr>
        <w:spacing w:line="600" w:lineRule="auto" w:before="134"/>
        <w:ind w:left="798" w:right="363" w:firstLine="429"/>
        <w:jc w:val="left"/>
        <w:rPr>
          <w:b/>
          <w:sz w:val="22"/>
        </w:rPr>
      </w:pPr>
      <w:r>
        <w:rPr>
          <w:b/>
          <w:sz w:val="22"/>
        </w:rPr>
        <w:t>CONTENIDO</w:t>
      </w:r>
      <w:r>
        <w:rPr>
          <w:b/>
          <w:spacing w:val="-8"/>
          <w:sz w:val="22"/>
        </w:rPr>
        <w:t> </w:t>
      </w:r>
      <w:r>
        <w:rPr>
          <w:b/>
          <w:sz w:val="22"/>
        </w:rPr>
        <w:t>DEL</w:t>
      </w:r>
      <w:r>
        <w:rPr>
          <w:b/>
          <w:spacing w:val="-7"/>
          <w:sz w:val="22"/>
        </w:rPr>
        <w:t> </w:t>
      </w:r>
      <w:r>
        <w:rPr>
          <w:b/>
          <w:sz w:val="22"/>
        </w:rPr>
        <w:t>PLAN,</w:t>
      </w:r>
      <w:r>
        <w:rPr>
          <w:b/>
          <w:spacing w:val="-8"/>
          <w:sz w:val="22"/>
        </w:rPr>
        <w:t> </w:t>
      </w:r>
      <w:r>
        <w:rPr>
          <w:b/>
          <w:sz w:val="22"/>
        </w:rPr>
        <w:t>SEGUIMIENTO</w:t>
      </w:r>
      <w:r>
        <w:rPr>
          <w:b/>
          <w:spacing w:val="-7"/>
          <w:sz w:val="22"/>
        </w:rPr>
        <w:t> </w:t>
      </w:r>
      <w:r>
        <w:rPr>
          <w:b/>
          <w:sz w:val="22"/>
        </w:rPr>
        <w:t>Y</w:t>
      </w:r>
      <w:r>
        <w:rPr>
          <w:b/>
          <w:spacing w:val="-6"/>
          <w:sz w:val="22"/>
        </w:rPr>
        <w:t> </w:t>
      </w:r>
      <w:r>
        <w:rPr>
          <w:b/>
          <w:sz w:val="22"/>
        </w:rPr>
        <w:t>CONTROL ARTÍCULO 16. CONTENIDO DEL PLAN</w:t>
      </w:r>
    </w:p>
    <w:p>
      <w:pPr>
        <w:pStyle w:val="BodyText"/>
        <w:spacing w:line="360" w:lineRule="auto"/>
        <w:ind w:left="102" w:right="734" w:firstLine="695"/>
        <w:jc w:val="both"/>
      </w:pPr>
      <w:r>
        <w:rPr/>
        <w:t>Las líneas de subvenciones para el ejercicio 2024 del presente plan se recogen en el anexo denominado “desglose plan estratégico de subvenciones”, en el que, clasificadas por centros gestores de gastos, para cada una de ellas se especifica:</w:t>
      </w:r>
    </w:p>
    <w:p>
      <w:pPr>
        <w:pStyle w:val="BodyText"/>
        <w:spacing w:before="135"/>
      </w:pPr>
    </w:p>
    <w:p>
      <w:pPr>
        <w:pStyle w:val="ListParagraph"/>
        <w:numPr>
          <w:ilvl w:val="0"/>
          <w:numId w:val="3"/>
        </w:numPr>
        <w:tabs>
          <w:tab w:pos="995" w:val="left" w:leader="none"/>
        </w:tabs>
        <w:spacing w:line="360" w:lineRule="auto" w:before="0" w:after="0"/>
        <w:ind w:left="102" w:right="735" w:firstLine="695"/>
        <w:jc w:val="both"/>
        <w:rPr>
          <w:sz w:val="22"/>
        </w:rPr>
      </w:pPr>
      <w:r>
        <w:rPr>
          <w:sz w:val="22"/>
        </w:rPr>
        <w:t>Aplicación presupuestaria en la que se prevé la consignación del crédito correspondiente.</w:t>
      </w:r>
    </w:p>
    <w:p>
      <w:pPr>
        <w:pStyle w:val="ListParagraph"/>
        <w:numPr>
          <w:ilvl w:val="0"/>
          <w:numId w:val="3"/>
        </w:numPr>
        <w:tabs>
          <w:tab w:pos="975" w:val="left" w:leader="none"/>
        </w:tabs>
        <w:spacing w:line="267" w:lineRule="exact" w:before="0" w:after="0"/>
        <w:ind w:left="975" w:right="0" w:hanging="177"/>
        <w:jc w:val="both"/>
        <w:rPr>
          <w:sz w:val="22"/>
        </w:rPr>
      </w:pPr>
      <w:r>
        <w:rPr>
          <w:sz w:val="22"/>
        </w:rPr>
        <w:t>Área</w:t>
      </w:r>
      <w:r>
        <w:rPr>
          <w:spacing w:val="-3"/>
          <w:sz w:val="22"/>
        </w:rPr>
        <w:t> </w:t>
      </w:r>
      <w:r>
        <w:rPr>
          <w:sz w:val="22"/>
        </w:rPr>
        <w:t>de </w:t>
      </w:r>
      <w:r>
        <w:rPr>
          <w:spacing w:val="-2"/>
          <w:sz w:val="22"/>
        </w:rPr>
        <w:t>competencia.</w:t>
      </w:r>
    </w:p>
    <w:p>
      <w:pPr>
        <w:pStyle w:val="ListParagraph"/>
        <w:numPr>
          <w:ilvl w:val="0"/>
          <w:numId w:val="3"/>
        </w:numPr>
        <w:tabs>
          <w:tab w:pos="975" w:val="left" w:leader="none"/>
        </w:tabs>
        <w:spacing w:line="240" w:lineRule="auto" w:before="134" w:after="0"/>
        <w:ind w:left="975" w:right="0" w:hanging="177"/>
        <w:jc w:val="both"/>
        <w:rPr>
          <w:sz w:val="22"/>
        </w:rPr>
      </w:pPr>
      <w:r>
        <w:rPr>
          <w:spacing w:val="-2"/>
          <w:sz w:val="22"/>
        </w:rPr>
        <w:t>Destinatario.</w:t>
      </w:r>
    </w:p>
    <w:p>
      <w:pPr>
        <w:pStyle w:val="ListParagraph"/>
        <w:numPr>
          <w:ilvl w:val="0"/>
          <w:numId w:val="3"/>
        </w:numPr>
        <w:tabs>
          <w:tab w:pos="1033" w:val="left" w:leader="none"/>
        </w:tabs>
        <w:spacing w:line="360" w:lineRule="auto" w:before="133" w:after="0"/>
        <w:ind w:left="102" w:right="734" w:firstLine="695"/>
        <w:jc w:val="both"/>
        <w:rPr>
          <w:sz w:val="22"/>
        </w:rPr>
      </w:pPr>
      <w:r>
        <w:rPr>
          <w:sz w:val="22"/>
        </w:rPr>
        <w:t>Modalidad de concesión para distinguir el procedimiento a aplicar en cada caso de conformidad con lo establecido al respecto en el Capítulo 2 del presente plan.</w:t>
      </w:r>
    </w:p>
    <w:p>
      <w:pPr>
        <w:pStyle w:val="ListParagraph"/>
        <w:numPr>
          <w:ilvl w:val="0"/>
          <w:numId w:val="3"/>
        </w:numPr>
        <w:tabs>
          <w:tab w:pos="975" w:val="left" w:leader="none"/>
        </w:tabs>
        <w:spacing w:line="267" w:lineRule="exact" w:before="0" w:after="0"/>
        <w:ind w:left="975" w:right="0" w:hanging="177"/>
        <w:jc w:val="both"/>
        <w:rPr>
          <w:sz w:val="22"/>
        </w:rPr>
      </w:pPr>
      <w:r>
        <w:rPr>
          <w:spacing w:val="-2"/>
          <w:sz w:val="22"/>
        </w:rPr>
        <w:t>Coste.</w:t>
      </w:r>
    </w:p>
    <w:p>
      <w:pPr>
        <w:pStyle w:val="ListParagraph"/>
        <w:numPr>
          <w:ilvl w:val="0"/>
          <w:numId w:val="3"/>
        </w:numPr>
        <w:tabs>
          <w:tab w:pos="975" w:val="left" w:leader="none"/>
        </w:tabs>
        <w:spacing w:line="240" w:lineRule="auto" w:before="136" w:after="0"/>
        <w:ind w:left="975" w:right="0" w:hanging="177"/>
        <w:jc w:val="both"/>
        <w:rPr>
          <w:sz w:val="22"/>
        </w:rPr>
      </w:pPr>
      <w:r>
        <w:rPr>
          <w:spacing w:val="-2"/>
          <w:sz w:val="22"/>
        </w:rPr>
        <w:t>Financiación</w:t>
      </w:r>
    </w:p>
    <w:p>
      <w:pPr>
        <w:pStyle w:val="BodyText"/>
        <w:spacing w:before="132"/>
      </w:pPr>
    </w:p>
    <w:p>
      <w:pPr>
        <w:pStyle w:val="Heading1"/>
      </w:pPr>
      <w:r>
        <w:rPr/>
        <w:t>ARTÍCULO</w:t>
      </w:r>
      <w:r>
        <w:rPr>
          <w:spacing w:val="-9"/>
        </w:rPr>
        <w:t> </w:t>
      </w:r>
      <w:r>
        <w:rPr/>
        <w:t>17.</w:t>
      </w:r>
      <w:r>
        <w:rPr>
          <w:spacing w:val="-8"/>
        </w:rPr>
        <w:t> </w:t>
      </w:r>
      <w:r>
        <w:rPr/>
        <w:t>MODIFICACIONES</w:t>
      </w:r>
      <w:r>
        <w:rPr>
          <w:spacing w:val="-9"/>
        </w:rPr>
        <w:t> </w:t>
      </w:r>
      <w:r>
        <w:rPr/>
        <w:t>DEL</w:t>
      </w:r>
      <w:r>
        <w:rPr>
          <w:spacing w:val="-7"/>
        </w:rPr>
        <w:t> </w:t>
      </w:r>
      <w:r>
        <w:rPr>
          <w:spacing w:val="-4"/>
        </w:rPr>
        <w:t>PLAN</w:t>
      </w:r>
    </w:p>
    <w:p>
      <w:pPr>
        <w:pStyle w:val="BodyText"/>
        <w:spacing w:before="135"/>
        <w:rPr>
          <w:b/>
        </w:rPr>
      </w:pPr>
    </w:p>
    <w:p>
      <w:pPr>
        <w:pStyle w:val="BodyText"/>
        <w:spacing w:line="360" w:lineRule="auto"/>
        <w:ind w:left="102" w:right="737" w:firstLine="695"/>
        <w:jc w:val="both"/>
      </w:pPr>
      <w:r>
        <w:rPr/>
        <w:t>La concesión de subvenciones no recogidas en el PES está condicionada a la modificación previa del mismo.</w:t>
      </w:r>
    </w:p>
    <w:p>
      <w:pPr>
        <w:pStyle w:val="BodyText"/>
        <w:spacing w:line="360" w:lineRule="auto" w:before="267"/>
        <w:ind w:left="102" w:right="731" w:firstLine="695"/>
        <w:jc w:val="both"/>
      </w:pPr>
      <w:r>
        <w:rPr/>
        <w:t>La introducción de nuevas líneas de subvención en el PES o la modificación de líneas ya incluidas, también estarán condicionadas a la modificación previa o simultánea del referido Plan.</w:t>
      </w:r>
    </w:p>
    <w:p>
      <w:pPr>
        <w:pStyle w:val="BodyText"/>
      </w:pPr>
    </w:p>
    <w:p>
      <w:pPr>
        <w:pStyle w:val="BodyText"/>
        <w:spacing w:line="360" w:lineRule="auto"/>
        <w:ind w:left="102" w:right="733" w:firstLine="695"/>
        <w:jc w:val="both"/>
      </w:pPr>
      <w:r>
        <w:rPr/>
        <w:t>No será necesaria la modificación del PES en los supuestos de modificación</w:t>
      </w:r>
      <w:r>
        <w:rPr>
          <w:spacing w:val="48"/>
        </w:rPr>
        <w:t>  </w:t>
      </w:r>
      <w:r>
        <w:rPr/>
        <w:t>de</w:t>
      </w:r>
      <w:r>
        <w:rPr>
          <w:spacing w:val="49"/>
        </w:rPr>
        <w:t>  </w:t>
      </w:r>
      <w:r>
        <w:rPr/>
        <w:t>líneas</w:t>
      </w:r>
      <w:r>
        <w:rPr>
          <w:spacing w:val="49"/>
        </w:rPr>
        <w:t>  </w:t>
      </w:r>
      <w:r>
        <w:rPr/>
        <w:t>de</w:t>
      </w:r>
      <w:r>
        <w:rPr>
          <w:spacing w:val="49"/>
        </w:rPr>
        <w:t>  </w:t>
      </w:r>
      <w:r>
        <w:rPr/>
        <w:t>subvención</w:t>
      </w:r>
      <w:r>
        <w:rPr>
          <w:spacing w:val="47"/>
        </w:rPr>
        <w:t>  </w:t>
      </w:r>
      <w:r>
        <w:rPr/>
        <w:t>existentes,</w:t>
      </w:r>
      <w:r>
        <w:rPr>
          <w:spacing w:val="49"/>
        </w:rPr>
        <w:t>  </w:t>
      </w:r>
      <w:r>
        <w:rPr/>
        <w:t>cuando</w:t>
      </w:r>
      <w:r>
        <w:rPr>
          <w:spacing w:val="49"/>
        </w:rPr>
        <w:t>  </w:t>
      </w:r>
      <w:r>
        <w:rPr>
          <w:spacing w:val="-5"/>
        </w:rPr>
        <w:t>la</w:t>
      </w:r>
    </w:p>
    <w:p>
      <w:pPr>
        <w:spacing w:after="0" w:line="360" w:lineRule="auto"/>
        <w:jc w:val="both"/>
        <w:sectPr>
          <w:pgSz w:w="11910" w:h="16840"/>
          <w:pgMar w:header="638" w:footer="825" w:top="2340" w:bottom="1020" w:left="1600" w:right="1680"/>
        </w:sectPr>
      </w:pPr>
    </w:p>
    <w:p>
      <w:pPr>
        <w:pStyle w:val="BodyText"/>
        <w:spacing w:line="360" w:lineRule="auto" w:before="178"/>
        <w:ind w:left="102" w:right="731"/>
        <w:jc w:val="both"/>
      </w:pPr>
      <w:r>
        <w:rPr/>
        <w:t>modificación consista en la variación del importe asignado a una subvención</w:t>
      </w:r>
      <w:r>
        <w:rPr>
          <w:spacing w:val="-3"/>
        </w:rPr>
        <w:t> </w:t>
      </w:r>
      <w:r>
        <w:rPr/>
        <w:t>de</w:t>
      </w:r>
      <w:r>
        <w:rPr>
          <w:spacing w:val="-2"/>
        </w:rPr>
        <w:t> </w:t>
      </w:r>
      <w:r>
        <w:rPr/>
        <w:t>la</w:t>
      </w:r>
      <w:r>
        <w:rPr>
          <w:spacing w:val="-4"/>
        </w:rPr>
        <w:t> </w:t>
      </w:r>
      <w:r>
        <w:rPr/>
        <w:t>línea,</w:t>
      </w:r>
      <w:r>
        <w:rPr>
          <w:spacing w:val="-2"/>
        </w:rPr>
        <w:t> </w:t>
      </w:r>
      <w:r>
        <w:rPr/>
        <w:t>siempre</w:t>
      </w:r>
      <w:r>
        <w:rPr>
          <w:spacing w:val="-2"/>
        </w:rPr>
        <w:t> </w:t>
      </w:r>
      <w:r>
        <w:rPr/>
        <w:t>que</w:t>
      </w:r>
      <w:r>
        <w:rPr>
          <w:spacing w:val="-3"/>
        </w:rPr>
        <w:t> </w:t>
      </w:r>
      <w:r>
        <w:rPr/>
        <w:t>el</w:t>
      </w:r>
      <w:r>
        <w:rPr>
          <w:spacing w:val="-3"/>
        </w:rPr>
        <w:t> </w:t>
      </w:r>
      <w:r>
        <w:rPr/>
        <w:t>resto</w:t>
      </w:r>
      <w:r>
        <w:rPr>
          <w:spacing w:val="-5"/>
        </w:rPr>
        <w:t> </w:t>
      </w:r>
      <w:r>
        <w:rPr/>
        <w:t>de</w:t>
      </w:r>
      <w:r>
        <w:rPr>
          <w:spacing w:val="-2"/>
        </w:rPr>
        <w:t> </w:t>
      </w:r>
      <w:r>
        <w:rPr/>
        <w:t>los</w:t>
      </w:r>
      <w:r>
        <w:rPr>
          <w:spacing w:val="-3"/>
        </w:rPr>
        <w:t> </w:t>
      </w:r>
      <w:r>
        <w:rPr/>
        <w:t>componentes</w:t>
      </w:r>
      <w:r>
        <w:rPr>
          <w:spacing w:val="-3"/>
        </w:rPr>
        <w:t> </w:t>
      </w:r>
      <w:r>
        <w:rPr/>
        <w:t>de</w:t>
      </w:r>
      <w:r>
        <w:rPr>
          <w:spacing w:val="-2"/>
        </w:rPr>
        <w:t> </w:t>
      </w:r>
      <w:r>
        <w:rPr/>
        <w:t>la misma permanezcan sin cambios, hecho este que deberá quedar acreditado en el expediente, por parte del centro gestor </w:t>
      </w:r>
      <w:r>
        <w:rPr>
          <w:spacing w:val="-2"/>
        </w:rPr>
        <w:t>correspondiente.</w:t>
      </w:r>
    </w:p>
    <w:p>
      <w:pPr>
        <w:pStyle w:val="Heading1"/>
        <w:spacing w:before="267"/>
        <w:jc w:val="both"/>
      </w:pPr>
      <w:r>
        <w:rPr/>
        <w:t>ARTÍCULO</w:t>
      </w:r>
      <w:r>
        <w:rPr>
          <w:spacing w:val="-6"/>
        </w:rPr>
        <w:t> </w:t>
      </w:r>
      <w:r>
        <w:rPr/>
        <w:t>18.</w:t>
      </w:r>
      <w:r>
        <w:rPr>
          <w:spacing w:val="-6"/>
        </w:rPr>
        <w:t> </w:t>
      </w:r>
      <w:r>
        <w:rPr/>
        <w:t>SEGUIMIENTO</w:t>
      </w:r>
      <w:r>
        <w:rPr>
          <w:spacing w:val="-5"/>
        </w:rPr>
        <w:t> </w:t>
      </w:r>
      <w:r>
        <w:rPr/>
        <w:t>DEL</w:t>
      </w:r>
      <w:r>
        <w:rPr>
          <w:spacing w:val="-4"/>
        </w:rPr>
        <w:t> PLAN</w:t>
      </w:r>
    </w:p>
    <w:p>
      <w:pPr>
        <w:pStyle w:val="BodyText"/>
        <w:spacing w:before="135"/>
        <w:rPr>
          <w:b/>
        </w:rPr>
      </w:pPr>
    </w:p>
    <w:p>
      <w:pPr>
        <w:pStyle w:val="BodyText"/>
        <w:ind w:left="798"/>
        <w:jc w:val="both"/>
      </w:pPr>
      <w:r>
        <w:rPr/>
        <w:t>Este</w:t>
      </w:r>
      <w:r>
        <w:rPr>
          <w:spacing w:val="-5"/>
        </w:rPr>
        <w:t> </w:t>
      </w:r>
      <w:r>
        <w:rPr/>
        <w:t>Plan</w:t>
      </w:r>
      <w:r>
        <w:rPr>
          <w:spacing w:val="-5"/>
        </w:rPr>
        <w:t> </w:t>
      </w:r>
      <w:r>
        <w:rPr/>
        <w:t>Estratégico</w:t>
      </w:r>
      <w:r>
        <w:rPr>
          <w:spacing w:val="-5"/>
        </w:rPr>
        <w:t> </w:t>
      </w:r>
      <w:r>
        <w:rPr/>
        <w:t>debe</w:t>
      </w:r>
      <w:r>
        <w:rPr>
          <w:spacing w:val="-4"/>
        </w:rPr>
        <w:t> </w:t>
      </w:r>
      <w:r>
        <w:rPr/>
        <w:t>ser</w:t>
      </w:r>
      <w:r>
        <w:rPr>
          <w:spacing w:val="-4"/>
        </w:rPr>
        <w:t> </w:t>
      </w:r>
      <w:r>
        <w:rPr/>
        <w:t>revisado</w:t>
      </w:r>
      <w:r>
        <w:rPr>
          <w:spacing w:val="-2"/>
        </w:rPr>
        <w:t> </w:t>
      </w:r>
      <w:r>
        <w:rPr/>
        <w:t>al</w:t>
      </w:r>
      <w:r>
        <w:rPr>
          <w:spacing w:val="-5"/>
        </w:rPr>
        <w:t> </w:t>
      </w:r>
      <w:r>
        <w:rPr/>
        <w:t>objeto</w:t>
      </w:r>
      <w:r>
        <w:rPr>
          <w:spacing w:val="-3"/>
        </w:rPr>
        <w:t> </w:t>
      </w:r>
      <w:r>
        <w:rPr>
          <w:spacing w:val="-5"/>
        </w:rPr>
        <w:t>de:</w:t>
      </w:r>
    </w:p>
    <w:p>
      <w:pPr>
        <w:pStyle w:val="BodyText"/>
        <w:spacing w:before="133"/>
      </w:pPr>
    </w:p>
    <w:p>
      <w:pPr>
        <w:pStyle w:val="ListParagraph"/>
        <w:numPr>
          <w:ilvl w:val="0"/>
          <w:numId w:val="3"/>
        </w:numPr>
        <w:tabs>
          <w:tab w:pos="1002" w:val="left" w:leader="none"/>
        </w:tabs>
        <w:spacing w:line="360" w:lineRule="auto" w:before="0" w:after="0"/>
        <w:ind w:left="102" w:right="735" w:firstLine="695"/>
        <w:jc w:val="both"/>
        <w:rPr>
          <w:sz w:val="22"/>
        </w:rPr>
      </w:pPr>
      <w:r>
        <w:rPr>
          <w:sz w:val="22"/>
        </w:rPr>
        <w:t>Modificar o actualizar las líneas de subvención que pudieran haber perdido su vigencia, o que no sean eficaces para el cumplimiento de los objetivos.</w:t>
      </w:r>
    </w:p>
    <w:p>
      <w:pPr>
        <w:pStyle w:val="ListParagraph"/>
        <w:numPr>
          <w:ilvl w:val="0"/>
          <w:numId w:val="3"/>
        </w:numPr>
        <w:tabs>
          <w:tab w:pos="975" w:val="left" w:leader="none"/>
        </w:tabs>
        <w:spacing w:line="240" w:lineRule="auto" w:before="2" w:after="0"/>
        <w:ind w:left="975" w:right="0" w:hanging="177"/>
        <w:jc w:val="both"/>
        <w:rPr>
          <w:sz w:val="22"/>
        </w:rPr>
      </w:pPr>
      <w:r>
        <w:rPr>
          <w:sz w:val="22"/>
        </w:rPr>
        <w:t>Actualizar</w:t>
      </w:r>
      <w:r>
        <w:rPr>
          <w:spacing w:val="-7"/>
          <w:sz w:val="22"/>
        </w:rPr>
        <w:t> </w:t>
      </w:r>
      <w:r>
        <w:rPr>
          <w:sz w:val="22"/>
        </w:rPr>
        <w:t>los</w:t>
      </w:r>
      <w:r>
        <w:rPr>
          <w:spacing w:val="-2"/>
          <w:sz w:val="22"/>
        </w:rPr>
        <w:t> </w:t>
      </w:r>
      <w:r>
        <w:rPr>
          <w:sz w:val="22"/>
        </w:rPr>
        <w:t>importes</w:t>
      </w:r>
      <w:r>
        <w:rPr>
          <w:spacing w:val="-3"/>
          <w:sz w:val="22"/>
        </w:rPr>
        <w:t> </w:t>
      </w:r>
      <w:r>
        <w:rPr>
          <w:sz w:val="22"/>
        </w:rPr>
        <w:t>de</w:t>
      </w:r>
      <w:r>
        <w:rPr>
          <w:spacing w:val="-2"/>
          <w:sz w:val="22"/>
        </w:rPr>
        <w:t> </w:t>
      </w:r>
      <w:r>
        <w:rPr>
          <w:sz w:val="22"/>
        </w:rPr>
        <w:t>aquellas</w:t>
      </w:r>
      <w:r>
        <w:rPr>
          <w:spacing w:val="-4"/>
          <w:sz w:val="22"/>
        </w:rPr>
        <w:t> </w:t>
      </w:r>
      <w:r>
        <w:rPr>
          <w:sz w:val="22"/>
        </w:rPr>
        <w:t>que</w:t>
      </w:r>
      <w:r>
        <w:rPr>
          <w:spacing w:val="-3"/>
          <w:sz w:val="22"/>
        </w:rPr>
        <w:t> </w:t>
      </w:r>
      <w:r>
        <w:rPr>
          <w:sz w:val="22"/>
        </w:rPr>
        <w:t>se</w:t>
      </w:r>
      <w:r>
        <w:rPr>
          <w:spacing w:val="-5"/>
          <w:sz w:val="22"/>
        </w:rPr>
        <w:t> </w:t>
      </w:r>
      <w:r>
        <w:rPr>
          <w:spacing w:val="-2"/>
          <w:sz w:val="22"/>
        </w:rPr>
        <w:t>mantengan.</w:t>
      </w:r>
    </w:p>
    <w:p>
      <w:pPr>
        <w:pStyle w:val="ListParagraph"/>
        <w:numPr>
          <w:ilvl w:val="0"/>
          <w:numId w:val="3"/>
        </w:numPr>
        <w:tabs>
          <w:tab w:pos="1108" w:val="left" w:leader="none"/>
        </w:tabs>
        <w:spacing w:line="360" w:lineRule="auto" w:before="133" w:after="0"/>
        <w:ind w:left="102" w:right="735" w:firstLine="695"/>
        <w:jc w:val="both"/>
        <w:rPr>
          <w:sz w:val="22"/>
        </w:rPr>
      </w:pPr>
      <w:r>
        <w:rPr>
          <w:sz w:val="22"/>
        </w:rPr>
        <w:t>Incluir nuevas líneas de actuación que se consideren necesarias para la consecución de los objetivos previamente </w:t>
      </w:r>
      <w:r>
        <w:rPr>
          <w:spacing w:val="-2"/>
          <w:sz w:val="22"/>
        </w:rPr>
        <w:t>establecidos.</w:t>
      </w:r>
    </w:p>
    <w:p>
      <w:pPr>
        <w:pStyle w:val="BodyText"/>
        <w:spacing w:before="1"/>
      </w:pPr>
    </w:p>
    <w:p>
      <w:pPr>
        <w:pStyle w:val="BodyText"/>
        <w:spacing w:line="360" w:lineRule="auto"/>
        <w:ind w:left="102" w:right="735" w:firstLine="695"/>
        <w:jc w:val="both"/>
      </w:pPr>
      <w:r>
        <w:rPr/>
        <w:t>A tales efectos, para cada línea de subvención deberán determinarse los indicadores de cumplimiento de sus objetivos, en sus respectivas Bases.</w:t>
      </w:r>
    </w:p>
    <w:p>
      <w:pPr>
        <w:pStyle w:val="BodyText"/>
        <w:spacing w:line="360" w:lineRule="auto" w:before="266"/>
        <w:ind w:left="102" w:right="735" w:firstLine="695"/>
        <w:jc w:val="both"/>
      </w:pPr>
      <w:r>
        <w:rPr/>
        <w:t>Este seguimiento se realizará con carácter anual por el departamento municipal al que se le encomiende, para lo cual, por parte de cada uno de los Servicios, Unidades y Entidades gestoras de subvenciones se procederá de acuerdo con las instrucciones que al respecto emita dicho departamento.</w:t>
      </w:r>
    </w:p>
    <w:p>
      <w:pPr>
        <w:pStyle w:val="BodyText"/>
      </w:pPr>
    </w:p>
    <w:p>
      <w:pPr>
        <w:pStyle w:val="BodyText"/>
        <w:spacing w:line="360" w:lineRule="auto"/>
        <w:ind w:left="102" w:right="737" w:firstLine="695"/>
        <w:jc w:val="both"/>
      </w:pPr>
      <w:r>
        <w:rPr/>
        <w:t>Al objeto de dar cumplimiento a la obligación de suministrar información a la Base Nacional de Subvenciones impuesta por el artículo 20 de la Ley 38/2003, de 17 de noviembre, General de Subvenciones, el departamento que se designe dictará las instrucciones</w:t>
      </w:r>
      <w:r>
        <w:rPr>
          <w:spacing w:val="68"/>
        </w:rPr>
        <w:t> </w:t>
      </w:r>
      <w:r>
        <w:rPr/>
        <w:t>oportunas</w:t>
      </w:r>
      <w:r>
        <w:rPr>
          <w:spacing w:val="71"/>
        </w:rPr>
        <w:t> </w:t>
      </w:r>
      <w:r>
        <w:rPr/>
        <w:t>con</w:t>
      </w:r>
      <w:r>
        <w:rPr>
          <w:spacing w:val="70"/>
        </w:rPr>
        <w:t> </w:t>
      </w:r>
      <w:r>
        <w:rPr/>
        <w:t>el</w:t>
      </w:r>
      <w:r>
        <w:rPr>
          <w:spacing w:val="70"/>
        </w:rPr>
        <w:t> </w:t>
      </w:r>
      <w:r>
        <w:rPr/>
        <w:t>fin</w:t>
      </w:r>
      <w:r>
        <w:rPr>
          <w:spacing w:val="70"/>
        </w:rPr>
        <w:t> </w:t>
      </w:r>
      <w:r>
        <w:rPr/>
        <w:t>de</w:t>
      </w:r>
      <w:r>
        <w:rPr>
          <w:spacing w:val="71"/>
        </w:rPr>
        <w:t> </w:t>
      </w:r>
      <w:r>
        <w:rPr/>
        <w:t>establecer</w:t>
      </w:r>
      <w:r>
        <w:rPr>
          <w:spacing w:val="69"/>
        </w:rPr>
        <w:t> </w:t>
      </w:r>
      <w:r>
        <w:rPr/>
        <w:t>el</w:t>
      </w:r>
      <w:r>
        <w:rPr>
          <w:spacing w:val="71"/>
        </w:rPr>
        <w:t> </w:t>
      </w:r>
      <w:r>
        <w:rPr>
          <w:spacing w:val="-2"/>
        </w:rPr>
        <w:t>procedimiento</w:t>
      </w:r>
    </w:p>
    <w:p>
      <w:pPr>
        <w:spacing w:after="0" w:line="360" w:lineRule="auto"/>
        <w:jc w:val="both"/>
        <w:sectPr>
          <w:pgSz w:w="11910" w:h="16840"/>
          <w:pgMar w:header="638" w:footer="825" w:top="2340" w:bottom="1020" w:left="1600" w:right="1680"/>
        </w:sectPr>
      </w:pPr>
    </w:p>
    <w:p>
      <w:pPr>
        <w:pStyle w:val="BodyText"/>
        <w:spacing w:line="362" w:lineRule="auto" w:before="178"/>
        <w:ind w:left="102"/>
      </w:pPr>
      <w:r>
        <w:rPr/>
        <w:t>mediante el cual los centros gestores de las subvenciones remitan la información a dicho departamento.</w:t>
      </w:r>
    </w:p>
    <w:p>
      <w:pPr>
        <w:pStyle w:val="BodyText"/>
        <w:spacing w:before="129"/>
      </w:pPr>
    </w:p>
    <w:p>
      <w:pPr>
        <w:pStyle w:val="Heading1"/>
      </w:pPr>
      <w:r>
        <w:rPr/>
        <w:t>ARTÍCULO</w:t>
      </w:r>
      <w:r>
        <w:rPr>
          <w:spacing w:val="-5"/>
        </w:rPr>
        <w:t> </w:t>
      </w:r>
      <w:r>
        <w:rPr/>
        <w:t>19.</w:t>
      </w:r>
      <w:r>
        <w:rPr>
          <w:spacing w:val="-4"/>
        </w:rPr>
        <w:t> </w:t>
      </w:r>
      <w:r>
        <w:rPr>
          <w:spacing w:val="-2"/>
        </w:rPr>
        <w:t>CONTROL</w:t>
      </w:r>
    </w:p>
    <w:p>
      <w:pPr>
        <w:pStyle w:val="BodyText"/>
        <w:spacing w:before="133"/>
        <w:rPr>
          <w:b/>
        </w:rPr>
      </w:pPr>
    </w:p>
    <w:p>
      <w:pPr>
        <w:pStyle w:val="BodyText"/>
        <w:spacing w:line="360" w:lineRule="auto"/>
        <w:ind w:left="102" w:right="736" w:firstLine="695"/>
        <w:jc w:val="both"/>
      </w:pPr>
      <w:r>
        <w:rPr/>
        <w:t>El control financiero de las subvenciones está encomendado a</w:t>
      </w:r>
      <w:r>
        <w:rPr>
          <w:spacing w:val="40"/>
        </w:rPr>
        <w:t> </w:t>
      </w:r>
      <w:r>
        <w:rPr/>
        <w:t>la Intervención General del Ayuntamiento de Gáldar y se realizará de conformidad con lo dispuesto al respecto en la legislación.</w:t>
      </w:r>
    </w:p>
    <w:p>
      <w:pPr>
        <w:pStyle w:val="BodyText"/>
        <w:spacing w:before="135"/>
      </w:pPr>
    </w:p>
    <w:p>
      <w:pPr>
        <w:pStyle w:val="Heading1"/>
        <w:spacing w:before="1"/>
        <w:ind w:left="99" w:right="39"/>
        <w:jc w:val="center"/>
      </w:pPr>
      <w:r>
        <w:rPr>
          <w:spacing w:val="-2"/>
        </w:rPr>
        <w:t>ANEXO</w:t>
      </w:r>
    </w:p>
    <w:p>
      <w:pPr>
        <w:spacing w:before="133"/>
        <w:ind w:left="99" w:right="44" w:firstLine="0"/>
        <w:jc w:val="center"/>
        <w:rPr>
          <w:b/>
          <w:sz w:val="22"/>
        </w:rPr>
      </w:pPr>
      <w:r>
        <w:rPr>
          <w:b/>
          <w:sz w:val="22"/>
        </w:rPr>
        <w:t>DESARROLLO</w:t>
      </w:r>
      <w:r>
        <w:rPr>
          <w:b/>
          <w:spacing w:val="-8"/>
          <w:sz w:val="22"/>
        </w:rPr>
        <w:t> </w:t>
      </w:r>
      <w:r>
        <w:rPr>
          <w:b/>
          <w:sz w:val="22"/>
        </w:rPr>
        <w:t>DE</w:t>
      </w:r>
      <w:r>
        <w:rPr>
          <w:b/>
          <w:spacing w:val="-7"/>
          <w:sz w:val="22"/>
        </w:rPr>
        <w:t> </w:t>
      </w:r>
      <w:r>
        <w:rPr>
          <w:b/>
          <w:sz w:val="22"/>
        </w:rPr>
        <w:t>LAS</w:t>
      </w:r>
      <w:r>
        <w:rPr>
          <w:b/>
          <w:spacing w:val="-7"/>
          <w:sz w:val="22"/>
        </w:rPr>
        <w:t> </w:t>
      </w:r>
      <w:r>
        <w:rPr>
          <w:b/>
          <w:sz w:val="22"/>
        </w:rPr>
        <w:t>LINEAS</w:t>
      </w:r>
      <w:r>
        <w:rPr>
          <w:b/>
          <w:spacing w:val="-7"/>
          <w:sz w:val="22"/>
        </w:rPr>
        <w:t> </w:t>
      </w:r>
      <w:r>
        <w:rPr>
          <w:b/>
          <w:sz w:val="22"/>
        </w:rPr>
        <w:t>ESTRATEGICAS</w:t>
      </w:r>
      <w:r>
        <w:rPr>
          <w:b/>
          <w:spacing w:val="-9"/>
          <w:sz w:val="22"/>
        </w:rPr>
        <w:t> </w:t>
      </w:r>
      <w:r>
        <w:rPr>
          <w:b/>
          <w:sz w:val="22"/>
        </w:rPr>
        <w:t>DEL</w:t>
      </w:r>
      <w:r>
        <w:rPr>
          <w:b/>
          <w:spacing w:val="-5"/>
          <w:sz w:val="22"/>
        </w:rPr>
        <w:t> </w:t>
      </w:r>
      <w:r>
        <w:rPr>
          <w:b/>
          <w:spacing w:val="-4"/>
          <w:sz w:val="22"/>
        </w:rPr>
        <w:t>PLAN</w:t>
      </w:r>
    </w:p>
    <w:p>
      <w:pPr>
        <w:pStyle w:val="BodyText"/>
        <w:spacing w:before="132"/>
        <w:rPr>
          <w:b/>
        </w:rPr>
      </w:pPr>
    </w:p>
    <w:p>
      <w:pPr>
        <w:pStyle w:val="ListParagraph"/>
        <w:numPr>
          <w:ilvl w:val="0"/>
          <w:numId w:val="4"/>
        </w:numPr>
        <w:tabs>
          <w:tab w:pos="809" w:val="left" w:leader="none"/>
          <w:tab w:pos="1026" w:val="left" w:leader="none"/>
        </w:tabs>
        <w:spacing w:line="360" w:lineRule="auto" w:before="0" w:after="0"/>
        <w:ind w:left="1026" w:right="733" w:hanging="358"/>
        <w:jc w:val="both"/>
        <w:rPr>
          <w:sz w:val="22"/>
        </w:rPr>
      </w:pPr>
      <w:r>
        <w:rPr>
          <w:b/>
          <w:sz w:val="22"/>
        </w:rPr>
        <w:t>Área de alcaldía: </w:t>
      </w:r>
      <w:r>
        <w:rPr>
          <w:sz w:val="22"/>
        </w:rPr>
        <w:t>La participación en actividades que contribuyan a mejorar el conocimiento de la realidad de la ciudad y de los problemas que preocupan a los ciudadanos.</w:t>
      </w:r>
    </w:p>
    <w:p>
      <w:pPr>
        <w:pStyle w:val="ListParagraph"/>
        <w:numPr>
          <w:ilvl w:val="0"/>
          <w:numId w:val="4"/>
        </w:numPr>
        <w:tabs>
          <w:tab w:pos="809" w:val="left" w:leader="none"/>
          <w:tab w:pos="1026" w:val="left" w:leader="none"/>
        </w:tabs>
        <w:spacing w:line="360" w:lineRule="auto" w:before="265" w:after="0"/>
        <w:ind w:left="1026" w:right="734" w:hanging="358"/>
        <w:jc w:val="both"/>
        <w:rPr>
          <w:sz w:val="22"/>
        </w:rPr>
      </w:pPr>
      <w:r>
        <w:rPr>
          <w:b/>
          <w:sz w:val="22"/>
        </w:rPr>
        <w:t>Área de Presidencia, cultura y fiestas: </w:t>
      </w:r>
      <w:r>
        <w:rPr>
          <w:sz w:val="22"/>
        </w:rPr>
        <w:t>Fomento y</w:t>
      </w:r>
      <w:r>
        <w:rPr>
          <w:spacing w:val="40"/>
          <w:sz w:val="22"/>
        </w:rPr>
        <w:t> </w:t>
      </w:r>
      <w:r>
        <w:rPr>
          <w:sz w:val="22"/>
        </w:rPr>
        <w:t>desarrollo en nuestra ciudad de actividades culturales y creaciones artísticas en sus diferentes modalidades (música, teatro, pintura, escultura y folclore) mediante el</w:t>
      </w:r>
      <w:r>
        <w:rPr>
          <w:spacing w:val="40"/>
          <w:sz w:val="22"/>
        </w:rPr>
        <w:t> </w:t>
      </w:r>
      <w:r>
        <w:rPr>
          <w:sz w:val="22"/>
        </w:rPr>
        <w:t>otorgamiento</w:t>
      </w:r>
      <w:r>
        <w:rPr>
          <w:spacing w:val="-3"/>
          <w:sz w:val="22"/>
        </w:rPr>
        <w:t> </w:t>
      </w:r>
      <w:r>
        <w:rPr>
          <w:sz w:val="22"/>
        </w:rPr>
        <w:t>de</w:t>
      </w:r>
      <w:r>
        <w:rPr>
          <w:spacing w:val="-3"/>
          <w:sz w:val="22"/>
        </w:rPr>
        <w:t> </w:t>
      </w:r>
      <w:r>
        <w:rPr>
          <w:sz w:val="22"/>
        </w:rPr>
        <w:t>subvenciones</w:t>
      </w:r>
      <w:r>
        <w:rPr>
          <w:spacing w:val="-3"/>
          <w:sz w:val="22"/>
        </w:rPr>
        <w:t> </w:t>
      </w:r>
      <w:r>
        <w:rPr>
          <w:sz w:val="22"/>
        </w:rPr>
        <w:t>a</w:t>
      </w:r>
      <w:r>
        <w:rPr>
          <w:spacing w:val="-5"/>
          <w:sz w:val="22"/>
        </w:rPr>
        <w:t> </w:t>
      </w:r>
      <w:r>
        <w:rPr>
          <w:sz w:val="22"/>
        </w:rPr>
        <w:t>entidades</w:t>
      </w:r>
      <w:r>
        <w:rPr>
          <w:spacing w:val="-6"/>
          <w:sz w:val="22"/>
        </w:rPr>
        <w:t> </w:t>
      </w:r>
      <w:r>
        <w:rPr>
          <w:sz w:val="22"/>
        </w:rPr>
        <w:t>sin</w:t>
      </w:r>
      <w:r>
        <w:rPr>
          <w:spacing w:val="-4"/>
          <w:sz w:val="22"/>
        </w:rPr>
        <w:t> </w:t>
      </w:r>
      <w:r>
        <w:rPr>
          <w:sz w:val="22"/>
        </w:rPr>
        <w:t>ánimo</w:t>
      </w:r>
      <w:r>
        <w:rPr>
          <w:spacing w:val="-3"/>
          <w:sz w:val="22"/>
        </w:rPr>
        <w:t> </w:t>
      </w:r>
      <w:r>
        <w:rPr>
          <w:sz w:val="22"/>
        </w:rPr>
        <w:t>de</w:t>
      </w:r>
      <w:r>
        <w:rPr>
          <w:spacing w:val="-3"/>
          <w:sz w:val="22"/>
        </w:rPr>
        <w:t> </w:t>
      </w:r>
      <w:r>
        <w:rPr>
          <w:sz w:val="22"/>
        </w:rPr>
        <w:t>lucro que tienen entre sus objetivos el desarrollo de estas </w:t>
      </w:r>
      <w:r>
        <w:rPr>
          <w:spacing w:val="-2"/>
          <w:sz w:val="22"/>
        </w:rPr>
        <w:t>actividades.</w:t>
      </w:r>
    </w:p>
    <w:p>
      <w:pPr>
        <w:pStyle w:val="ListParagraph"/>
        <w:numPr>
          <w:ilvl w:val="0"/>
          <w:numId w:val="4"/>
        </w:numPr>
        <w:tabs>
          <w:tab w:pos="809" w:val="left" w:leader="none"/>
          <w:tab w:pos="1026" w:val="left" w:leader="none"/>
        </w:tabs>
        <w:spacing w:line="360" w:lineRule="auto" w:before="264" w:after="0"/>
        <w:ind w:left="1026" w:right="740" w:hanging="358"/>
        <w:jc w:val="both"/>
        <w:rPr>
          <w:sz w:val="22"/>
        </w:rPr>
      </w:pPr>
      <w:r>
        <w:rPr>
          <w:b/>
          <w:sz w:val="22"/>
        </w:rPr>
        <w:t>Área de Patrimonio histórico, archivo, biblioteca, identidad, medianías, museos, escuela de música e I+D+I + Fundación Ciudad de Gáldar: </w:t>
      </w:r>
      <w:r>
        <w:rPr>
          <w:sz w:val="22"/>
        </w:rPr>
        <w:t>Apoyo al</w:t>
      </w:r>
      <w:r>
        <w:rPr>
          <w:spacing w:val="40"/>
          <w:sz w:val="22"/>
        </w:rPr>
        <w:t> </w:t>
      </w:r>
      <w:r>
        <w:rPr>
          <w:sz w:val="22"/>
        </w:rPr>
        <w:t>desarrollo del medio rural, para agricultores, ganaderos, etc.</w:t>
      </w:r>
    </w:p>
    <w:p>
      <w:pPr>
        <w:pStyle w:val="ListParagraph"/>
        <w:numPr>
          <w:ilvl w:val="0"/>
          <w:numId w:val="4"/>
        </w:numPr>
        <w:tabs>
          <w:tab w:pos="809" w:val="left" w:leader="none"/>
          <w:tab w:pos="1026" w:val="left" w:leader="none"/>
        </w:tabs>
        <w:spacing w:line="360" w:lineRule="auto" w:before="266" w:after="0"/>
        <w:ind w:left="1026" w:right="734" w:hanging="358"/>
        <w:jc w:val="both"/>
        <w:rPr>
          <w:sz w:val="22"/>
        </w:rPr>
      </w:pPr>
      <w:r>
        <w:rPr>
          <w:b/>
          <w:sz w:val="22"/>
        </w:rPr>
        <w:t>Área de Servicios sociales, igualdad, pisos tutelados, centro ocupacional, menores, sanidad y solidaridad: </w:t>
      </w:r>
      <w:r>
        <w:rPr>
          <w:sz w:val="22"/>
        </w:rPr>
        <w:t>Apoyo igualmente a las familias, personas físicas más necesitadas, con objeto de facilitar su plena integración </w:t>
      </w:r>
      <w:r>
        <w:rPr>
          <w:spacing w:val="-2"/>
          <w:sz w:val="22"/>
        </w:rPr>
        <w:t>social.</w:t>
      </w:r>
    </w:p>
    <w:p>
      <w:pPr>
        <w:spacing w:after="0" w:line="360" w:lineRule="auto"/>
        <w:jc w:val="both"/>
        <w:rPr>
          <w:sz w:val="22"/>
        </w:rPr>
        <w:sectPr>
          <w:pgSz w:w="11910" w:h="16840"/>
          <w:pgMar w:header="638" w:footer="825" w:top="2340" w:bottom="1020" w:left="1600" w:right="1680"/>
        </w:sectPr>
      </w:pPr>
    </w:p>
    <w:p>
      <w:pPr>
        <w:pStyle w:val="BodyText"/>
      </w:pPr>
    </w:p>
    <w:p>
      <w:pPr>
        <w:pStyle w:val="BodyText"/>
        <w:spacing w:before="46"/>
      </w:pPr>
    </w:p>
    <w:p>
      <w:pPr>
        <w:pStyle w:val="ListParagraph"/>
        <w:numPr>
          <w:ilvl w:val="0"/>
          <w:numId w:val="4"/>
        </w:numPr>
        <w:tabs>
          <w:tab w:pos="809" w:val="left" w:leader="none"/>
          <w:tab w:pos="1026" w:val="left" w:leader="none"/>
        </w:tabs>
        <w:spacing w:line="360" w:lineRule="auto" w:before="0" w:after="0"/>
        <w:ind w:left="1026" w:right="734" w:hanging="358"/>
        <w:jc w:val="both"/>
        <w:rPr>
          <w:sz w:val="22"/>
        </w:rPr>
      </w:pPr>
      <w:r>
        <w:rPr>
          <w:b/>
          <w:sz w:val="22"/>
        </w:rPr>
        <w:t>Área de Desarrollo socioeconómico, agricultura, ganadería y pesca, comercio y empleo: </w:t>
      </w:r>
      <w:r>
        <w:rPr>
          <w:sz w:val="22"/>
        </w:rPr>
        <w:t>Dado el amplio abanico competencial del Área, las subvenciones que se conceden desde el Área de Comercio, Gestión de la Vía Pública y Fomento de la Actividad Empresarial tienen como objetivo,</w:t>
      </w:r>
      <w:r>
        <w:rPr>
          <w:spacing w:val="-2"/>
          <w:sz w:val="22"/>
        </w:rPr>
        <w:t> </w:t>
      </w:r>
      <w:r>
        <w:rPr>
          <w:sz w:val="22"/>
        </w:rPr>
        <w:t>por</w:t>
      </w:r>
      <w:r>
        <w:rPr>
          <w:spacing w:val="-3"/>
          <w:sz w:val="22"/>
        </w:rPr>
        <w:t> </w:t>
      </w:r>
      <w:r>
        <w:rPr>
          <w:sz w:val="22"/>
        </w:rPr>
        <w:t>un</w:t>
      </w:r>
      <w:r>
        <w:rPr>
          <w:spacing w:val="-4"/>
          <w:sz w:val="22"/>
        </w:rPr>
        <w:t> </w:t>
      </w:r>
      <w:r>
        <w:rPr>
          <w:sz w:val="22"/>
        </w:rPr>
        <w:t>lado,</w:t>
      </w:r>
      <w:r>
        <w:rPr>
          <w:spacing w:val="-2"/>
          <w:sz w:val="22"/>
        </w:rPr>
        <w:t> </w:t>
      </w:r>
      <w:r>
        <w:rPr>
          <w:sz w:val="22"/>
        </w:rPr>
        <w:t>el</w:t>
      </w:r>
      <w:r>
        <w:rPr>
          <w:spacing w:val="-3"/>
          <w:sz w:val="22"/>
        </w:rPr>
        <w:t> </w:t>
      </w:r>
      <w:r>
        <w:rPr>
          <w:sz w:val="22"/>
        </w:rPr>
        <w:t>apoyo</w:t>
      </w:r>
      <w:r>
        <w:rPr>
          <w:spacing w:val="-2"/>
          <w:sz w:val="22"/>
        </w:rPr>
        <w:t> </w:t>
      </w:r>
      <w:r>
        <w:rPr>
          <w:sz w:val="22"/>
        </w:rPr>
        <w:t>a</w:t>
      </w:r>
      <w:r>
        <w:rPr>
          <w:spacing w:val="-2"/>
          <w:sz w:val="22"/>
        </w:rPr>
        <w:t> </w:t>
      </w:r>
      <w:r>
        <w:rPr>
          <w:sz w:val="22"/>
        </w:rPr>
        <w:t>iniciativas</w:t>
      </w:r>
      <w:r>
        <w:rPr>
          <w:spacing w:val="-1"/>
          <w:sz w:val="22"/>
        </w:rPr>
        <w:t> </w:t>
      </w:r>
      <w:r>
        <w:rPr>
          <w:sz w:val="22"/>
        </w:rPr>
        <w:t>que</w:t>
      </w:r>
      <w:r>
        <w:rPr>
          <w:spacing w:val="-3"/>
          <w:sz w:val="22"/>
        </w:rPr>
        <w:t> </w:t>
      </w:r>
      <w:r>
        <w:rPr>
          <w:sz w:val="22"/>
        </w:rPr>
        <w:t>contribuyen</w:t>
      </w:r>
      <w:r>
        <w:rPr>
          <w:spacing w:val="-3"/>
          <w:sz w:val="22"/>
        </w:rPr>
        <w:t> </w:t>
      </w:r>
      <w:r>
        <w:rPr>
          <w:sz w:val="22"/>
        </w:rPr>
        <w:t>a fomentar el comercio malagueño fortaleciendo la competitividad del comercio tradicional y la hostelería.</w:t>
      </w:r>
    </w:p>
    <w:p>
      <w:pPr>
        <w:pStyle w:val="BodyText"/>
        <w:spacing w:before="20"/>
        <w:rPr>
          <w:sz w:val="20"/>
        </w:rPr>
      </w:pPr>
    </w:p>
    <w:tbl>
      <w:tblPr>
        <w:tblW w:w="0" w:type="auto"/>
        <w:jc w:val="left"/>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80"/>
        <w:gridCol w:w="3201"/>
        <w:gridCol w:w="339"/>
      </w:tblGrid>
      <w:tr>
        <w:trPr>
          <w:trHeight w:val="335" w:hRule="atLeast"/>
        </w:trPr>
        <w:tc>
          <w:tcPr>
            <w:tcW w:w="3780" w:type="dxa"/>
          </w:tcPr>
          <w:p>
            <w:pPr>
              <w:pStyle w:val="TableParagraph"/>
              <w:numPr>
                <w:ilvl w:val="0"/>
                <w:numId w:val="5"/>
              </w:numPr>
              <w:tabs>
                <w:tab w:pos="141" w:val="left" w:leader="none"/>
              </w:tabs>
              <w:spacing w:line="240" w:lineRule="auto" w:before="1" w:after="0"/>
              <w:ind w:left="141" w:right="85" w:hanging="141"/>
              <w:jc w:val="right"/>
              <w:rPr>
                <w:rFonts w:ascii="Verdana" w:hAnsi="Verdana"/>
                <w:b/>
                <w:sz w:val="22"/>
              </w:rPr>
            </w:pPr>
            <w:r>
              <w:rPr>
                <w:rFonts w:ascii="Verdana" w:hAnsi="Verdana"/>
                <w:b/>
                <w:sz w:val="22"/>
              </w:rPr>
              <w:t>Educación,</w:t>
            </w:r>
            <w:r>
              <w:rPr>
                <w:rFonts w:ascii="Verdana" w:hAnsi="Verdana"/>
                <w:b/>
                <w:spacing w:val="58"/>
                <w:w w:val="150"/>
                <w:sz w:val="22"/>
              </w:rPr>
              <w:t> </w:t>
            </w:r>
            <w:r>
              <w:rPr>
                <w:rFonts w:ascii="Verdana" w:hAnsi="Verdana"/>
                <w:b/>
                <w:sz w:val="22"/>
              </w:rPr>
              <w:t>escuela</w:t>
            </w:r>
            <w:r>
              <w:rPr>
                <w:rFonts w:ascii="Verdana" w:hAnsi="Verdana"/>
                <w:b/>
                <w:spacing w:val="56"/>
                <w:w w:val="150"/>
                <w:sz w:val="22"/>
              </w:rPr>
              <w:t> </w:t>
            </w:r>
            <w:r>
              <w:rPr>
                <w:rFonts w:ascii="Verdana" w:hAnsi="Verdana"/>
                <w:b/>
                <w:spacing w:val="-2"/>
                <w:sz w:val="22"/>
              </w:rPr>
              <w:t>infantil</w:t>
            </w:r>
          </w:p>
        </w:tc>
        <w:tc>
          <w:tcPr>
            <w:tcW w:w="3201" w:type="dxa"/>
          </w:tcPr>
          <w:p>
            <w:pPr>
              <w:pStyle w:val="TableParagraph"/>
              <w:spacing w:before="1"/>
              <w:ind w:right="2"/>
              <w:jc w:val="center"/>
              <w:rPr>
                <w:rFonts w:ascii="Verdana"/>
                <w:b/>
                <w:sz w:val="22"/>
              </w:rPr>
            </w:pPr>
            <w:r>
              <w:rPr>
                <w:rFonts w:ascii="Verdana"/>
                <w:b/>
                <w:sz w:val="22"/>
              </w:rPr>
              <w:t>y</w:t>
            </w:r>
            <w:r>
              <w:rPr>
                <w:rFonts w:ascii="Verdana"/>
                <w:b/>
                <w:spacing w:val="60"/>
                <w:w w:val="150"/>
                <w:sz w:val="22"/>
              </w:rPr>
              <w:t> </w:t>
            </w:r>
            <w:r>
              <w:rPr>
                <w:rFonts w:ascii="Verdana"/>
                <w:b/>
                <w:sz w:val="22"/>
              </w:rPr>
              <w:t>Universidad</w:t>
            </w:r>
            <w:r>
              <w:rPr>
                <w:rFonts w:ascii="Verdana"/>
                <w:b/>
                <w:spacing w:val="60"/>
                <w:w w:val="150"/>
                <w:sz w:val="22"/>
              </w:rPr>
              <w:t> </w:t>
            </w:r>
            <w:r>
              <w:rPr>
                <w:rFonts w:ascii="Verdana"/>
                <w:b/>
                <w:spacing w:val="-2"/>
                <w:sz w:val="22"/>
              </w:rPr>
              <w:t>popular:</w:t>
            </w:r>
          </w:p>
        </w:tc>
        <w:tc>
          <w:tcPr>
            <w:tcW w:w="339" w:type="dxa"/>
          </w:tcPr>
          <w:p>
            <w:pPr>
              <w:pStyle w:val="TableParagraph"/>
              <w:spacing w:before="1"/>
              <w:ind w:left="44" w:right="13"/>
              <w:jc w:val="center"/>
              <w:rPr>
                <w:rFonts w:ascii="Verdana"/>
                <w:sz w:val="22"/>
              </w:rPr>
            </w:pPr>
            <w:r>
              <w:rPr>
                <w:rFonts w:ascii="Verdana"/>
                <w:spacing w:val="-5"/>
                <w:sz w:val="22"/>
              </w:rPr>
              <w:t>El</w:t>
            </w:r>
          </w:p>
        </w:tc>
      </w:tr>
      <w:tr>
        <w:trPr>
          <w:trHeight w:val="333" w:hRule="atLeast"/>
        </w:trPr>
        <w:tc>
          <w:tcPr>
            <w:tcW w:w="3780" w:type="dxa"/>
          </w:tcPr>
          <w:p>
            <w:pPr>
              <w:pStyle w:val="TableParagraph"/>
              <w:spacing w:line="248" w:lineRule="exact" w:before="66"/>
              <w:ind w:right="93"/>
              <w:jc w:val="right"/>
              <w:rPr>
                <w:rFonts w:ascii="Verdana"/>
                <w:sz w:val="22"/>
              </w:rPr>
            </w:pPr>
            <w:r>
              <w:rPr>
                <w:rFonts w:ascii="Verdana"/>
                <w:sz w:val="22"/>
              </w:rPr>
              <w:t>fomento</w:t>
            </w:r>
            <w:r>
              <w:rPr>
                <w:rFonts w:ascii="Verdana"/>
                <w:spacing w:val="63"/>
                <w:w w:val="150"/>
                <w:sz w:val="22"/>
              </w:rPr>
              <w:t> </w:t>
            </w:r>
            <w:r>
              <w:rPr>
                <w:rFonts w:ascii="Verdana"/>
                <w:sz w:val="22"/>
              </w:rPr>
              <w:t>de</w:t>
            </w:r>
            <w:r>
              <w:rPr>
                <w:rFonts w:ascii="Verdana"/>
                <w:spacing w:val="63"/>
                <w:w w:val="150"/>
                <w:sz w:val="22"/>
              </w:rPr>
              <w:t> </w:t>
            </w:r>
            <w:r>
              <w:rPr>
                <w:rFonts w:ascii="Verdana"/>
                <w:sz w:val="22"/>
              </w:rPr>
              <w:t>las</w:t>
            </w:r>
            <w:r>
              <w:rPr>
                <w:rFonts w:ascii="Verdana"/>
                <w:spacing w:val="63"/>
                <w:w w:val="150"/>
                <w:sz w:val="22"/>
              </w:rPr>
              <w:t> </w:t>
            </w:r>
            <w:r>
              <w:rPr>
                <w:rFonts w:ascii="Verdana"/>
                <w:spacing w:val="-2"/>
                <w:sz w:val="22"/>
              </w:rPr>
              <w:t>actividades</w:t>
            </w:r>
          </w:p>
        </w:tc>
        <w:tc>
          <w:tcPr>
            <w:tcW w:w="3201" w:type="dxa"/>
          </w:tcPr>
          <w:p>
            <w:pPr>
              <w:pStyle w:val="TableParagraph"/>
              <w:spacing w:line="248" w:lineRule="exact" w:before="66"/>
              <w:ind w:left="2" w:right="2"/>
              <w:jc w:val="center"/>
              <w:rPr>
                <w:rFonts w:ascii="Verdana"/>
                <w:sz w:val="22"/>
              </w:rPr>
            </w:pPr>
            <w:r>
              <w:rPr>
                <w:rFonts w:ascii="Verdana"/>
                <w:sz w:val="22"/>
              </w:rPr>
              <w:t>educativas</w:t>
            </w:r>
            <w:r>
              <w:rPr>
                <w:rFonts w:ascii="Verdana"/>
                <w:spacing w:val="64"/>
                <w:w w:val="150"/>
                <w:sz w:val="22"/>
              </w:rPr>
              <w:t> </w:t>
            </w:r>
            <w:r>
              <w:rPr>
                <w:rFonts w:ascii="Verdana"/>
                <w:sz w:val="22"/>
              </w:rPr>
              <w:t>que</w:t>
            </w:r>
            <w:r>
              <w:rPr>
                <w:rFonts w:ascii="Verdana"/>
                <w:spacing w:val="62"/>
                <w:w w:val="150"/>
                <w:sz w:val="22"/>
              </w:rPr>
              <w:t> </w:t>
            </w:r>
            <w:r>
              <w:rPr>
                <w:rFonts w:ascii="Verdana"/>
                <w:spacing w:val="-2"/>
                <w:sz w:val="22"/>
              </w:rPr>
              <w:t>supongan</w:t>
            </w:r>
          </w:p>
        </w:tc>
        <w:tc>
          <w:tcPr>
            <w:tcW w:w="339" w:type="dxa"/>
          </w:tcPr>
          <w:p>
            <w:pPr>
              <w:pStyle w:val="TableParagraph"/>
              <w:spacing w:line="248" w:lineRule="exact" w:before="66"/>
              <w:ind w:left="44"/>
              <w:jc w:val="center"/>
              <w:rPr>
                <w:rFonts w:ascii="Verdana"/>
                <w:sz w:val="22"/>
              </w:rPr>
            </w:pPr>
            <w:r>
              <w:rPr>
                <w:rFonts w:ascii="Verdana"/>
                <w:spacing w:val="-5"/>
                <w:sz w:val="22"/>
              </w:rPr>
              <w:t>la</w:t>
            </w:r>
          </w:p>
        </w:tc>
      </w:tr>
    </w:tbl>
    <w:p>
      <w:pPr>
        <w:pStyle w:val="BodyText"/>
        <w:spacing w:line="360" w:lineRule="auto" w:before="134"/>
        <w:ind w:left="1026" w:right="736"/>
        <w:jc w:val="both"/>
      </w:pPr>
      <w:r>
        <w:rPr/>
        <w:t>participación de entidades y colectivos en el proceso educativo en sus distintas manifestaciones. Así mismo, el apoyo a los estudiantes mediante la entrega de becas.</w:t>
      </w:r>
    </w:p>
    <w:p>
      <w:pPr>
        <w:pStyle w:val="BodyText"/>
        <w:spacing w:before="1"/>
      </w:pPr>
    </w:p>
    <w:p>
      <w:pPr>
        <w:pStyle w:val="Heading1"/>
        <w:numPr>
          <w:ilvl w:val="0"/>
          <w:numId w:val="4"/>
        </w:numPr>
        <w:tabs>
          <w:tab w:pos="809" w:val="left" w:leader="none"/>
          <w:tab w:pos="1026" w:val="left" w:leader="none"/>
        </w:tabs>
        <w:spacing w:line="357" w:lineRule="auto" w:before="0" w:after="0"/>
        <w:ind w:left="1026" w:right="735" w:hanging="358"/>
        <w:jc w:val="both"/>
      </w:pPr>
      <w:r>
        <w:rPr/>
        <w:t>Área de Actividad física, deporte y salud: El fomento de las siguientes actividades:</w:t>
      </w:r>
    </w:p>
    <w:p>
      <w:pPr>
        <w:pStyle w:val="BodyText"/>
        <w:spacing w:before="1"/>
        <w:rPr>
          <w:b/>
        </w:rPr>
      </w:pPr>
    </w:p>
    <w:p>
      <w:pPr>
        <w:pStyle w:val="ListParagraph"/>
        <w:numPr>
          <w:ilvl w:val="1"/>
          <w:numId w:val="4"/>
        </w:numPr>
        <w:tabs>
          <w:tab w:pos="1518" w:val="left" w:leader="none"/>
        </w:tabs>
        <w:spacing w:line="348" w:lineRule="auto" w:before="0" w:after="0"/>
        <w:ind w:left="1518" w:right="734" w:hanging="360"/>
        <w:jc w:val="both"/>
        <w:rPr>
          <w:sz w:val="22"/>
        </w:rPr>
      </w:pPr>
      <w:r>
        <w:rPr>
          <w:sz w:val="22"/>
        </w:rPr>
        <w:t>Iniciación deportiva con fines educativos, lúdicos y sociales.</w:t>
      </w:r>
      <w:r>
        <w:rPr>
          <w:spacing w:val="40"/>
          <w:sz w:val="22"/>
        </w:rPr>
        <w:t> </w:t>
      </w:r>
      <w:r>
        <w:rPr>
          <w:sz w:val="22"/>
        </w:rPr>
        <w:t>Fomento del hábito deportivo en la población </w:t>
      </w:r>
      <w:r>
        <w:rPr>
          <w:spacing w:val="-2"/>
          <w:sz w:val="22"/>
        </w:rPr>
        <w:t>infantil.</w:t>
      </w:r>
    </w:p>
    <w:p>
      <w:pPr>
        <w:pStyle w:val="ListParagraph"/>
        <w:numPr>
          <w:ilvl w:val="1"/>
          <w:numId w:val="4"/>
        </w:numPr>
        <w:tabs>
          <w:tab w:pos="1517" w:val="left" w:leader="none"/>
        </w:tabs>
        <w:spacing w:line="240" w:lineRule="auto" w:before="22" w:after="0"/>
        <w:ind w:left="1517" w:right="0" w:hanging="359"/>
        <w:jc w:val="left"/>
        <w:rPr>
          <w:sz w:val="22"/>
        </w:rPr>
      </w:pPr>
      <w:r>
        <w:rPr>
          <w:sz w:val="22"/>
        </w:rPr>
        <w:t>Inculcar</w:t>
      </w:r>
      <w:r>
        <w:rPr>
          <w:spacing w:val="-4"/>
          <w:sz w:val="22"/>
        </w:rPr>
        <w:t> </w:t>
      </w:r>
      <w:r>
        <w:rPr>
          <w:sz w:val="22"/>
        </w:rPr>
        <w:t>los</w:t>
      </w:r>
      <w:r>
        <w:rPr>
          <w:spacing w:val="-2"/>
          <w:sz w:val="22"/>
        </w:rPr>
        <w:t> </w:t>
      </w:r>
      <w:r>
        <w:rPr>
          <w:sz w:val="22"/>
        </w:rPr>
        <w:t>valores</w:t>
      </w:r>
      <w:r>
        <w:rPr>
          <w:spacing w:val="-3"/>
          <w:sz w:val="22"/>
        </w:rPr>
        <w:t> </w:t>
      </w:r>
      <w:r>
        <w:rPr>
          <w:sz w:val="22"/>
        </w:rPr>
        <w:t>de</w:t>
      </w:r>
      <w:r>
        <w:rPr>
          <w:spacing w:val="-2"/>
          <w:sz w:val="22"/>
        </w:rPr>
        <w:t> </w:t>
      </w:r>
      <w:r>
        <w:rPr>
          <w:sz w:val="22"/>
        </w:rPr>
        <w:t>la</w:t>
      </w:r>
      <w:r>
        <w:rPr>
          <w:spacing w:val="-4"/>
          <w:sz w:val="22"/>
        </w:rPr>
        <w:t> </w:t>
      </w:r>
      <w:r>
        <w:rPr>
          <w:sz w:val="22"/>
        </w:rPr>
        <w:t>práctica</w:t>
      </w:r>
      <w:r>
        <w:rPr>
          <w:spacing w:val="-3"/>
          <w:sz w:val="22"/>
        </w:rPr>
        <w:t> </w:t>
      </w:r>
      <w:r>
        <w:rPr>
          <w:spacing w:val="-2"/>
          <w:sz w:val="22"/>
        </w:rPr>
        <w:t>deportiva.</w:t>
      </w:r>
    </w:p>
    <w:p>
      <w:pPr>
        <w:pStyle w:val="ListParagraph"/>
        <w:numPr>
          <w:ilvl w:val="1"/>
          <w:numId w:val="4"/>
        </w:numPr>
        <w:tabs>
          <w:tab w:pos="1517" w:val="left" w:leader="none"/>
        </w:tabs>
        <w:spacing w:line="240" w:lineRule="auto" w:before="113" w:after="0"/>
        <w:ind w:left="1517" w:right="0" w:hanging="359"/>
        <w:jc w:val="left"/>
        <w:rPr>
          <w:sz w:val="22"/>
        </w:rPr>
      </w:pPr>
      <w:r>
        <w:rPr>
          <w:sz w:val="22"/>
        </w:rPr>
        <w:t>Satisfacer</w:t>
      </w:r>
      <w:r>
        <w:rPr>
          <w:spacing w:val="-4"/>
          <w:sz w:val="22"/>
        </w:rPr>
        <w:t> </w:t>
      </w:r>
      <w:r>
        <w:rPr>
          <w:sz w:val="22"/>
        </w:rPr>
        <w:t>la</w:t>
      </w:r>
      <w:r>
        <w:rPr>
          <w:spacing w:val="-5"/>
          <w:sz w:val="22"/>
        </w:rPr>
        <w:t> </w:t>
      </w:r>
      <w:r>
        <w:rPr>
          <w:sz w:val="22"/>
        </w:rPr>
        <w:t>demanda</w:t>
      </w:r>
      <w:r>
        <w:rPr>
          <w:spacing w:val="-5"/>
          <w:sz w:val="22"/>
        </w:rPr>
        <w:t> </w:t>
      </w:r>
      <w:r>
        <w:rPr>
          <w:sz w:val="22"/>
        </w:rPr>
        <w:t>social</w:t>
      </w:r>
      <w:r>
        <w:rPr>
          <w:spacing w:val="-4"/>
          <w:sz w:val="22"/>
        </w:rPr>
        <w:t> </w:t>
      </w:r>
      <w:r>
        <w:rPr>
          <w:spacing w:val="-2"/>
          <w:sz w:val="22"/>
        </w:rPr>
        <w:t>existente.</w:t>
      </w:r>
    </w:p>
    <w:p>
      <w:pPr>
        <w:pStyle w:val="ListParagraph"/>
        <w:numPr>
          <w:ilvl w:val="1"/>
          <w:numId w:val="4"/>
        </w:numPr>
        <w:tabs>
          <w:tab w:pos="1517" w:val="left" w:leader="none"/>
        </w:tabs>
        <w:spacing w:line="240" w:lineRule="auto" w:before="114" w:after="0"/>
        <w:ind w:left="1517" w:right="0" w:hanging="359"/>
        <w:jc w:val="left"/>
        <w:rPr>
          <w:sz w:val="22"/>
        </w:rPr>
      </w:pPr>
      <w:r>
        <w:rPr>
          <w:sz w:val="22"/>
        </w:rPr>
        <w:t>Potenciar</w:t>
      </w:r>
      <w:r>
        <w:rPr>
          <w:spacing w:val="-7"/>
          <w:sz w:val="22"/>
        </w:rPr>
        <w:t> </w:t>
      </w:r>
      <w:r>
        <w:rPr>
          <w:sz w:val="22"/>
        </w:rPr>
        <w:t>la</w:t>
      </w:r>
      <w:r>
        <w:rPr>
          <w:spacing w:val="-5"/>
          <w:sz w:val="22"/>
        </w:rPr>
        <w:t> </w:t>
      </w:r>
      <w:r>
        <w:rPr>
          <w:sz w:val="22"/>
        </w:rPr>
        <w:t>estructura</w:t>
      </w:r>
      <w:r>
        <w:rPr>
          <w:spacing w:val="-4"/>
          <w:sz w:val="22"/>
        </w:rPr>
        <w:t> </w:t>
      </w:r>
      <w:r>
        <w:rPr>
          <w:sz w:val="22"/>
        </w:rPr>
        <w:t>del</w:t>
      </w:r>
      <w:r>
        <w:rPr>
          <w:spacing w:val="-4"/>
          <w:sz w:val="22"/>
        </w:rPr>
        <w:t> </w:t>
      </w:r>
      <w:r>
        <w:rPr>
          <w:sz w:val="22"/>
        </w:rPr>
        <w:t>sistema</w:t>
      </w:r>
      <w:r>
        <w:rPr>
          <w:spacing w:val="-5"/>
          <w:sz w:val="22"/>
        </w:rPr>
        <w:t> </w:t>
      </w:r>
      <w:r>
        <w:rPr>
          <w:sz w:val="22"/>
        </w:rPr>
        <w:t>deportivo</w:t>
      </w:r>
      <w:r>
        <w:rPr>
          <w:spacing w:val="-2"/>
          <w:sz w:val="22"/>
        </w:rPr>
        <w:t> local.</w:t>
      </w:r>
    </w:p>
    <w:p>
      <w:pPr>
        <w:pStyle w:val="ListParagraph"/>
        <w:numPr>
          <w:ilvl w:val="1"/>
          <w:numId w:val="4"/>
        </w:numPr>
        <w:tabs>
          <w:tab w:pos="1518" w:val="left" w:leader="none"/>
        </w:tabs>
        <w:spacing w:line="336" w:lineRule="auto" w:before="113" w:after="0"/>
        <w:ind w:left="1518" w:right="733" w:hanging="360"/>
        <w:jc w:val="left"/>
        <w:rPr>
          <w:sz w:val="22"/>
        </w:rPr>
      </w:pPr>
      <w:r>
        <w:rPr>
          <w:sz w:val="22"/>
        </w:rPr>
        <w:t>Ayudar a la consolidación y desarrollo de las entidades</w:t>
      </w:r>
      <w:r>
        <w:rPr>
          <w:spacing w:val="80"/>
          <w:sz w:val="22"/>
        </w:rPr>
        <w:t> </w:t>
      </w:r>
      <w:r>
        <w:rPr>
          <w:spacing w:val="-2"/>
          <w:sz w:val="22"/>
        </w:rPr>
        <w:t>deportivas.</w:t>
      </w:r>
    </w:p>
    <w:p>
      <w:pPr>
        <w:pStyle w:val="BodyText"/>
        <w:spacing w:before="35"/>
      </w:pPr>
    </w:p>
    <w:p>
      <w:pPr>
        <w:pStyle w:val="Heading1"/>
        <w:numPr>
          <w:ilvl w:val="0"/>
          <w:numId w:val="4"/>
        </w:numPr>
        <w:tabs>
          <w:tab w:pos="809" w:val="left" w:leader="none"/>
          <w:tab w:pos="1026" w:val="left" w:leader="none"/>
        </w:tabs>
        <w:spacing w:line="357" w:lineRule="auto" w:before="0" w:after="0"/>
        <w:ind w:left="1026" w:right="740" w:hanging="358"/>
        <w:jc w:val="both"/>
      </w:pPr>
      <w:r>
        <w:rPr/>
        <w:t>Área de Participación ciudadana, asociaciones de vecinos, barrios y playas + Prevención de adicciones (OA Toxicomanías):</w:t>
      </w:r>
    </w:p>
    <w:p>
      <w:pPr>
        <w:pStyle w:val="BodyText"/>
        <w:spacing w:before="3"/>
        <w:rPr>
          <w:b/>
        </w:rPr>
      </w:pPr>
    </w:p>
    <w:p>
      <w:pPr>
        <w:pStyle w:val="ListParagraph"/>
        <w:numPr>
          <w:ilvl w:val="1"/>
          <w:numId w:val="4"/>
        </w:numPr>
        <w:tabs>
          <w:tab w:pos="1517" w:val="left" w:leader="none"/>
        </w:tabs>
        <w:spacing w:line="240" w:lineRule="auto" w:before="0" w:after="0"/>
        <w:ind w:left="1517" w:right="0" w:hanging="359"/>
        <w:jc w:val="left"/>
        <w:rPr>
          <w:sz w:val="22"/>
        </w:rPr>
      </w:pPr>
      <w:r>
        <w:rPr>
          <w:sz w:val="22"/>
        </w:rPr>
        <w:t>Apoyar</w:t>
      </w:r>
      <w:r>
        <w:rPr>
          <w:spacing w:val="-5"/>
          <w:sz w:val="22"/>
        </w:rPr>
        <w:t> </w:t>
      </w:r>
      <w:r>
        <w:rPr>
          <w:sz w:val="22"/>
        </w:rPr>
        <w:t>el</w:t>
      </w:r>
      <w:r>
        <w:rPr>
          <w:spacing w:val="-4"/>
          <w:sz w:val="22"/>
        </w:rPr>
        <w:t> </w:t>
      </w:r>
      <w:r>
        <w:rPr>
          <w:sz w:val="22"/>
        </w:rPr>
        <w:t>tejido</w:t>
      </w:r>
      <w:r>
        <w:rPr>
          <w:spacing w:val="-3"/>
          <w:sz w:val="22"/>
        </w:rPr>
        <w:t> </w:t>
      </w:r>
      <w:r>
        <w:rPr>
          <w:sz w:val="22"/>
        </w:rPr>
        <w:t>asociativo</w:t>
      </w:r>
      <w:r>
        <w:rPr>
          <w:spacing w:val="-4"/>
          <w:sz w:val="22"/>
        </w:rPr>
        <w:t> </w:t>
      </w:r>
      <w:r>
        <w:rPr>
          <w:sz w:val="22"/>
        </w:rPr>
        <w:t>de</w:t>
      </w:r>
      <w:r>
        <w:rPr>
          <w:spacing w:val="-3"/>
          <w:sz w:val="22"/>
        </w:rPr>
        <w:t> </w:t>
      </w:r>
      <w:r>
        <w:rPr>
          <w:sz w:val="22"/>
        </w:rPr>
        <w:t>la</w:t>
      </w:r>
      <w:r>
        <w:rPr>
          <w:spacing w:val="-4"/>
          <w:sz w:val="22"/>
        </w:rPr>
        <w:t> </w:t>
      </w:r>
      <w:r>
        <w:rPr>
          <w:spacing w:val="-2"/>
          <w:sz w:val="22"/>
        </w:rPr>
        <w:t>ciudad.</w:t>
      </w:r>
    </w:p>
    <w:p>
      <w:pPr>
        <w:spacing w:after="0" w:line="240" w:lineRule="auto"/>
        <w:jc w:val="left"/>
        <w:rPr>
          <w:sz w:val="22"/>
        </w:rPr>
        <w:sectPr>
          <w:pgSz w:w="11910" w:h="16840"/>
          <w:pgMar w:header="638" w:footer="825" w:top="2340" w:bottom="1020" w:left="1600" w:right="1680"/>
        </w:sectPr>
      </w:pPr>
    </w:p>
    <w:p>
      <w:pPr>
        <w:pStyle w:val="ListParagraph"/>
        <w:numPr>
          <w:ilvl w:val="1"/>
          <w:numId w:val="4"/>
        </w:numPr>
        <w:tabs>
          <w:tab w:pos="1518" w:val="left" w:leader="none"/>
        </w:tabs>
        <w:spacing w:line="336" w:lineRule="auto" w:before="178" w:after="0"/>
        <w:ind w:left="1518" w:right="738" w:hanging="360"/>
        <w:jc w:val="both"/>
        <w:rPr>
          <w:sz w:val="22"/>
        </w:rPr>
      </w:pPr>
      <w:r>
        <w:rPr>
          <w:sz w:val="22"/>
        </w:rPr>
        <w:t>Fortalecer el movimiento asociativo y la calidad </w:t>
      </w:r>
      <w:r>
        <w:rPr>
          <w:spacing w:val="-2"/>
          <w:sz w:val="22"/>
        </w:rPr>
        <w:t>asociativa.</w:t>
      </w:r>
    </w:p>
    <w:p>
      <w:pPr>
        <w:pStyle w:val="ListParagraph"/>
        <w:numPr>
          <w:ilvl w:val="1"/>
          <w:numId w:val="4"/>
        </w:numPr>
        <w:tabs>
          <w:tab w:pos="1518" w:val="left" w:leader="none"/>
        </w:tabs>
        <w:spacing w:line="336" w:lineRule="auto" w:before="35" w:after="0"/>
        <w:ind w:left="1518" w:right="739" w:hanging="360"/>
        <w:jc w:val="both"/>
        <w:rPr>
          <w:sz w:val="22"/>
        </w:rPr>
      </w:pPr>
      <w:r>
        <w:rPr>
          <w:sz w:val="22"/>
        </w:rPr>
        <w:t>Potenciar la captación, fomento, sensibilización y formación de voluntarios.</w:t>
      </w:r>
    </w:p>
    <w:p>
      <w:pPr>
        <w:pStyle w:val="ListParagraph"/>
        <w:numPr>
          <w:ilvl w:val="1"/>
          <w:numId w:val="4"/>
        </w:numPr>
        <w:tabs>
          <w:tab w:pos="1518" w:val="left" w:leader="none"/>
        </w:tabs>
        <w:spacing w:line="348" w:lineRule="auto" w:before="33" w:after="0"/>
        <w:ind w:left="1518" w:right="736" w:hanging="360"/>
        <w:jc w:val="both"/>
        <w:rPr>
          <w:sz w:val="22"/>
        </w:rPr>
      </w:pPr>
      <w:r>
        <w:rPr>
          <w:sz w:val="22"/>
        </w:rPr>
        <w:t>Desarrollar proyectos de emprendimiento social que aborden retos sociales con nuevos enfoques desde la innovación social.</w:t>
      </w:r>
    </w:p>
    <w:p>
      <w:pPr>
        <w:pStyle w:val="BodyText"/>
        <w:spacing w:before="21"/>
      </w:pPr>
    </w:p>
    <w:p>
      <w:pPr>
        <w:pStyle w:val="ListParagraph"/>
        <w:numPr>
          <w:ilvl w:val="0"/>
          <w:numId w:val="4"/>
        </w:numPr>
        <w:tabs>
          <w:tab w:pos="809" w:val="left" w:leader="none"/>
          <w:tab w:pos="1026" w:val="left" w:leader="none"/>
        </w:tabs>
        <w:spacing w:line="360" w:lineRule="auto" w:before="1" w:after="0"/>
        <w:ind w:left="1026" w:right="734" w:hanging="358"/>
        <w:jc w:val="both"/>
        <w:rPr>
          <w:sz w:val="22"/>
        </w:rPr>
      </w:pPr>
      <w:r>
        <w:rPr>
          <w:b/>
          <w:sz w:val="22"/>
        </w:rPr>
        <w:t>Área de Bienestar animal, juventud y club del mayor: </w:t>
      </w:r>
      <w:r>
        <w:rPr>
          <w:sz w:val="22"/>
        </w:rPr>
        <w:t>Apoyo a las asociaciones y entidades sin ánimo de lucro mediante la colaboración municipal, con el objeto de potenciar aquellos servicios de interés general para la colectividad que complementen las competencias que la Administración Local</w:t>
      </w:r>
      <w:r>
        <w:rPr>
          <w:spacing w:val="-1"/>
          <w:sz w:val="22"/>
        </w:rPr>
        <w:t> </w:t>
      </w:r>
      <w:r>
        <w:rPr>
          <w:sz w:val="22"/>
        </w:rPr>
        <w:t>tiene en el ámbito de</w:t>
      </w:r>
      <w:r>
        <w:rPr>
          <w:spacing w:val="-2"/>
          <w:sz w:val="22"/>
        </w:rPr>
        <w:t> </w:t>
      </w:r>
      <w:r>
        <w:rPr>
          <w:sz w:val="22"/>
        </w:rPr>
        <w:t>Servicios Sociales.</w:t>
      </w:r>
    </w:p>
    <w:p>
      <w:pPr>
        <w:pStyle w:val="BodyText"/>
      </w:pPr>
    </w:p>
    <w:p>
      <w:pPr>
        <w:pStyle w:val="BodyText"/>
        <w:spacing w:before="261"/>
      </w:pPr>
    </w:p>
    <w:p>
      <w:pPr>
        <w:pStyle w:val="BodyText"/>
        <w:spacing w:before="1"/>
        <w:ind w:left="798"/>
      </w:pPr>
      <w:r>
        <w:rPr/>
        <w:t>En</w:t>
      </w:r>
      <w:r>
        <w:rPr>
          <w:spacing w:val="-8"/>
        </w:rPr>
        <w:t> </w:t>
      </w:r>
      <w:r>
        <w:rPr/>
        <w:t>Gáldar</w:t>
      </w:r>
      <w:r>
        <w:rPr>
          <w:spacing w:val="-5"/>
        </w:rPr>
        <w:t> </w:t>
      </w:r>
      <w:r>
        <w:rPr/>
        <w:t>(documento</w:t>
      </w:r>
      <w:r>
        <w:rPr>
          <w:spacing w:val="-4"/>
        </w:rPr>
        <w:t> </w:t>
      </w:r>
      <w:r>
        <w:rPr/>
        <w:t>firmado</w:t>
      </w:r>
      <w:r>
        <w:rPr>
          <w:spacing w:val="-4"/>
        </w:rPr>
        <w:t> </w:t>
      </w:r>
      <w:r>
        <w:rPr/>
        <w:t>electrónicamente</w:t>
      </w:r>
      <w:r>
        <w:rPr>
          <w:spacing w:val="-3"/>
        </w:rPr>
        <w:t> </w:t>
      </w:r>
      <w:r>
        <w:rPr/>
        <w:t>al</w:t>
      </w:r>
      <w:r>
        <w:rPr>
          <w:spacing w:val="-7"/>
        </w:rPr>
        <w:t> </w:t>
      </w:r>
      <w:r>
        <w:rPr>
          <w:spacing w:val="-2"/>
        </w:rPr>
        <w:t>margen)</w:t>
      </w:r>
    </w:p>
    <w:p>
      <w:pPr>
        <w:pStyle w:val="BodyText"/>
      </w:pPr>
    </w:p>
    <w:p>
      <w:pPr>
        <w:pStyle w:val="BodyText"/>
        <w:spacing w:before="2"/>
      </w:pPr>
    </w:p>
    <w:p>
      <w:pPr>
        <w:pStyle w:val="BodyText"/>
        <w:ind w:left="99"/>
        <w:jc w:val="center"/>
      </w:pPr>
      <w:r>
        <w:rPr/>
        <w:t>El</w:t>
      </w:r>
      <w:r>
        <w:rPr>
          <w:spacing w:val="-3"/>
        </w:rPr>
        <w:t> </w:t>
      </w:r>
      <w:r>
        <w:rPr>
          <w:spacing w:val="-2"/>
        </w:rPr>
        <w:t>Alcalde,</w:t>
      </w:r>
    </w:p>
    <w:sectPr>
      <w:pgSz w:w="11910" w:h="16840"/>
      <w:pgMar w:header="638" w:footer="825" w:top="2340" w:bottom="1020" w:left="160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Verdana">
    <w:altName w:val="Verdana"/>
    <w:charset w:val="1"/>
    <w:family w:val="swiss"/>
    <w:pitch w:val="variable"/>
  </w:font>
  <w:font w:name="Symbol">
    <w:altName w:val="Symbol"/>
    <w:charset w:val="2"/>
    <w:family w:val="decorative"/>
    <w:pitch w:val="variable"/>
  </w:font>
  <w:font w:name="Courier New">
    <w:altName w:val="Courier New"/>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732800">
          <wp:simplePos x="0" y="0"/>
          <wp:positionH relativeFrom="page">
            <wp:posOffset>1678135</wp:posOffset>
          </wp:positionH>
          <wp:positionV relativeFrom="page">
            <wp:posOffset>10041254</wp:posOffset>
          </wp:positionV>
          <wp:extent cx="4394623" cy="23495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4394623" cy="234950"/>
                  </a:xfrm>
                  <a:prstGeom prst="rect">
                    <a:avLst/>
                  </a:prstGeom>
                </pic:spPr>
              </pic:pic>
            </a:graphicData>
          </a:graphic>
        </wp:anchor>
      </w:drawing>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734336">
          <wp:simplePos x="0" y="0"/>
          <wp:positionH relativeFrom="page">
            <wp:posOffset>1498430</wp:posOffset>
          </wp:positionH>
          <wp:positionV relativeFrom="page">
            <wp:posOffset>6909434</wp:posOffset>
          </wp:positionV>
          <wp:extent cx="4394623" cy="234950"/>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 cstate="print"/>
                  <a:stretch>
                    <a:fillRect/>
                  </a:stretch>
                </pic:blipFill>
                <pic:spPr>
                  <a:xfrm>
                    <a:off x="0" y="0"/>
                    <a:ext cx="4394623" cy="234950"/>
                  </a:xfrm>
                  <a:prstGeom prst="rect">
                    <a:avLst/>
                  </a:prstGeom>
                </pic:spPr>
              </pic:pic>
            </a:graphicData>
          </a:graphic>
        </wp:anchor>
      </w:drawing>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736384">
          <wp:simplePos x="0" y="0"/>
          <wp:positionH relativeFrom="page">
            <wp:posOffset>1678135</wp:posOffset>
          </wp:positionH>
          <wp:positionV relativeFrom="page">
            <wp:posOffset>10041254</wp:posOffset>
          </wp:positionV>
          <wp:extent cx="4394623" cy="234950"/>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 cstate="print"/>
                  <a:stretch>
                    <a:fillRect/>
                  </a:stretch>
                </pic:blipFill>
                <pic:spPr>
                  <a:xfrm>
                    <a:off x="0" y="0"/>
                    <a:ext cx="4394623" cy="234950"/>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731776">
          <wp:simplePos x="0" y="0"/>
          <wp:positionH relativeFrom="page">
            <wp:posOffset>1095375</wp:posOffset>
          </wp:positionH>
          <wp:positionV relativeFrom="page">
            <wp:posOffset>405129</wp:posOffset>
          </wp:positionV>
          <wp:extent cx="1447164" cy="108521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447164" cy="1085215"/>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732288">
          <wp:simplePos x="0" y="0"/>
          <wp:positionH relativeFrom="page">
            <wp:posOffset>1080135</wp:posOffset>
          </wp:positionH>
          <wp:positionV relativeFrom="page">
            <wp:posOffset>405129</wp:posOffset>
          </wp:positionV>
          <wp:extent cx="1447165" cy="108521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1447165" cy="1085215"/>
                  </a:xfrm>
                  <a:prstGeom prst="rect">
                    <a:avLst/>
                  </a:prstGeom>
                </pic:spPr>
              </pic:pic>
            </a:graphicData>
          </a:graphic>
        </wp:anchor>
      </w:drawing>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733312">
          <wp:simplePos x="0" y="0"/>
          <wp:positionH relativeFrom="page">
            <wp:posOffset>915669</wp:posOffset>
          </wp:positionH>
          <wp:positionV relativeFrom="page">
            <wp:posOffset>405130</wp:posOffset>
          </wp:positionV>
          <wp:extent cx="1447165" cy="1085215"/>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1447165" cy="1085215"/>
                  </a:xfrm>
                  <a:prstGeom prst="rect">
                    <a:avLst/>
                  </a:prstGeom>
                </pic:spPr>
              </pic:pic>
            </a:graphicData>
          </a:graphic>
        </wp:anchor>
      </w:drawing>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733824">
          <wp:simplePos x="0" y="0"/>
          <wp:positionH relativeFrom="page">
            <wp:posOffset>900430</wp:posOffset>
          </wp:positionH>
          <wp:positionV relativeFrom="page">
            <wp:posOffset>405130</wp:posOffset>
          </wp:positionV>
          <wp:extent cx="1447165" cy="1085215"/>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 cstate="print"/>
                  <a:stretch>
                    <a:fillRect/>
                  </a:stretch>
                </pic:blipFill>
                <pic:spPr>
                  <a:xfrm>
                    <a:off x="0" y="0"/>
                    <a:ext cx="1447165" cy="1085215"/>
                  </a:xfrm>
                  <a:prstGeom prst="rect">
                    <a:avLst/>
                  </a:prstGeom>
                </pic:spPr>
              </pic:pic>
            </a:graphicData>
          </a:graphic>
        </wp:anchor>
      </w:drawing>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734848">
          <wp:simplePos x="0" y="0"/>
          <wp:positionH relativeFrom="page">
            <wp:posOffset>900430</wp:posOffset>
          </wp:positionH>
          <wp:positionV relativeFrom="page">
            <wp:posOffset>405130</wp:posOffset>
          </wp:positionV>
          <wp:extent cx="1447165" cy="1085215"/>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 cstate="print"/>
                  <a:stretch>
                    <a:fillRect/>
                  </a:stretch>
                </pic:blipFill>
                <pic:spPr>
                  <a:xfrm>
                    <a:off x="0" y="0"/>
                    <a:ext cx="1447165" cy="1085215"/>
                  </a:xfrm>
                  <a:prstGeom prst="rect">
                    <a:avLst/>
                  </a:prstGeom>
                </pic:spPr>
              </pic:pic>
            </a:graphicData>
          </a:graphic>
        </wp:anchor>
      </w:drawing>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735360">
          <wp:simplePos x="0" y="0"/>
          <wp:positionH relativeFrom="page">
            <wp:posOffset>1095375</wp:posOffset>
          </wp:positionH>
          <wp:positionV relativeFrom="page">
            <wp:posOffset>405129</wp:posOffset>
          </wp:positionV>
          <wp:extent cx="1447164" cy="1085215"/>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1" cstate="print"/>
                  <a:stretch>
                    <a:fillRect/>
                  </a:stretch>
                </pic:blipFill>
                <pic:spPr>
                  <a:xfrm>
                    <a:off x="0" y="0"/>
                    <a:ext cx="1447164" cy="1085215"/>
                  </a:xfrm>
                  <a:prstGeom prst="rect">
                    <a:avLst/>
                  </a:prstGeom>
                </pic:spPr>
              </pic:pic>
            </a:graphicData>
          </a:graphic>
        </wp:anchor>
      </w:drawing>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735872">
          <wp:simplePos x="0" y="0"/>
          <wp:positionH relativeFrom="page">
            <wp:posOffset>1080135</wp:posOffset>
          </wp:positionH>
          <wp:positionV relativeFrom="page">
            <wp:posOffset>405129</wp:posOffset>
          </wp:positionV>
          <wp:extent cx="1447165" cy="1085215"/>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1" cstate="print"/>
                  <a:stretch>
                    <a:fillRect/>
                  </a:stretch>
                </pic:blipFill>
                <pic:spPr>
                  <a:xfrm>
                    <a:off x="0" y="0"/>
                    <a:ext cx="1447165" cy="108521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518" w:hanging="360"/>
      </w:pPr>
      <w:rPr>
        <w:rFonts w:hint="default" w:ascii="Symbol" w:hAnsi="Symbol" w:eastAsia="Symbol" w:cs="Symbol"/>
        <w:b w:val="0"/>
        <w:bCs w:val="0"/>
        <w:i w:val="0"/>
        <w:iCs w:val="0"/>
        <w:spacing w:val="0"/>
        <w:w w:val="100"/>
        <w:sz w:val="22"/>
        <w:szCs w:val="22"/>
        <w:lang w:val="es-ES" w:eastAsia="en-US" w:bidi="ar-SA"/>
      </w:rPr>
    </w:lvl>
    <w:lvl w:ilvl="1">
      <w:start w:val="0"/>
      <w:numFmt w:val="bullet"/>
      <w:lvlText w:val="•"/>
      <w:lvlJc w:val="left"/>
      <w:pPr>
        <w:ind w:left="2230" w:hanging="360"/>
      </w:pPr>
      <w:rPr>
        <w:rFonts w:hint="default"/>
        <w:lang w:val="es-ES" w:eastAsia="en-US" w:bidi="ar-SA"/>
      </w:rPr>
    </w:lvl>
    <w:lvl w:ilvl="2">
      <w:start w:val="0"/>
      <w:numFmt w:val="bullet"/>
      <w:lvlText w:val="•"/>
      <w:lvlJc w:val="left"/>
      <w:pPr>
        <w:ind w:left="2941" w:hanging="360"/>
      </w:pPr>
      <w:rPr>
        <w:rFonts w:hint="default"/>
        <w:lang w:val="es-ES" w:eastAsia="en-US" w:bidi="ar-SA"/>
      </w:rPr>
    </w:lvl>
    <w:lvl w:ilvl="3">
      <w:start w:val="0"/>
      <w:numFmt w:val="bullet"/>
      <w:lvlText w:val="•"/>
      <w:lvlJc w:val="left"/>
      <w:pPr>
        <w:ind w:left="3651" w:hanging="360"/>
      </w:pPr>
      <w:rPr>
        <w:rFonts w:hint="default"/>
        <w:lang w:val="es-ES" w:eastAsia="en-US" w:bidi="ar-SA"/>
      </w:rPr>
    </w:lvl>
    <w:lvl w:ilvl="4">
      <w:start w:val="0"/>
      <w:numFmt w:val="bullet"/>
      <w:lvlText w:val="•"/>
      <w:lvlJc w:val="left"/>
      <w:pPr>
        <w:ind w:left="4362" w:hanging="360"/>
      </w:pPr>
      <w:rPr>
        <w:rFonts w:hint="default"/>
        <w:lang w:val="es-ES" w:eastAsia="en-US" w:bidi="ar-SA"/>
      </w:rPr>
    </w:lvl>
    <w:lvl w:ilvl="5">
      <w:start w:val="0"/>
      <w:numFmt w:val="bullet"/>
      <w:lvlText w:val="•"/>
      <w:lvlJc w:val="left"/>
      <w:pPr>
        <w:ind w:left="5073" w:hanging="360"/>
      </w:pPr>
      <w:rPr>
        <w:rFonts w:hint="default"/>
        <w:lang w:val="es-ES" w:eastAsia="en-US" w:bidi="ar-SA"/>
      </w:rPr>
    </w:lvl>
    <w:lvl w:ilvl="6">
      <w:start w:val="0"/>
      <w:numFmt w:val="bullet"/>
      <w:lvlText w:val="•"/>
      <w:lvlJc w:val="left"/>
      <w:pPr>
        <w:ind w:left="5783" w:hanging="360"/>
      </w:pPr>
      <w:rPr>
        <w:rFonts w:hint="default"/>
        <w:lang w:val="es-ES" w:eastAsia="en-US" w:bidi="ar-SA"/>
      </w:rPr>
    </w:lvl>
    <w:lvl w:ilvl="7">
      <w:start w:val="0"/>
      <w:numFmt w:val="bullet"/>
      <w:lvlText w:val="•"/>
      <w:lvlJc w:val="left"/>
      <w:pPr>
        <w:ind w:left="6494" w:hanging="360"/>
      </w:pPr>
      <w:rPr>
        <w:rFonts w:hint="default"/>
        <w:lang w:val="es-ES" w:eastAsia="en-US" w:bidi="ar-SA"/>
      </w:rPr>
    </w:lvl>
    <w:lvl w:ilvl="8">
      <w:start w:val="0"/>
      <w:numFmt w:val="bullet"/>
      <w:lvlText w:val="•"/>
      <w:lvlJc w:val="left"/>
      <w:pPr>
        <w:ind w:left="7205" w:hanging="360"/>
      </w:pPr>
      <w:rPr>
        <w:rFonts w:hint="default"/>
        <w:lang w:val="es-ES" w:eastAsia="en-US" w:bidi="ar-SA"/>
      </w:rPr>
    </w:lvl>
  </w:abstractNum>
  <w:abstractNum w:abstractNumId="4">
    <w:multiLevelType w:val="hybridMultilevel"/>
    <w:lvl w:ilvl="0">
      <w:start w:val="0"/>
      <w:numFmt w:val="bullet"/>
      <w:lvlText w:val=""/>
      <w:lvlJc w:val="left"/>
      <w:pPr>
        <w:ind w:left="191" w:hanging="142"/>
      </w:pPr>
      <w:rPr>
        <w:rFonts w:hint="default" w:ascii="Symbol" w:hAnsi="Symbol" w:eastAsia="Symbol" w:cs="Symbol"/>
        <w:b w:val="0"/>
        <w:bCs w:val="0"/>
        <w:i w:val="0"/>
        <w:iCs w:val="0"/>
        <w:spacing w:val="0"/>
        <w:w w:val="100"/>
        <w:sz w:val="22"/>
        <w:szCs w:val="22"/>
        <w:lang w:val="es-ES" w:eastAsia="en-US" w:bidi="ar-SA"/>
      </w:rPr>
    </w:lvl>
    <w:lvl w:ilvl="1">
      <w:start w:val="0"/>
      <w:numFmt w:val="bullet"/>
      <w:lvlText w:val="•"/>
      <w:lvlJc w:val="left"/>
      <w:pPr>
        <w:ind w:left="558" w:hanging="142"/>
      </w:pPr>
      <w:rPr>
        <w:rFonts w:hint="default"/>
        <w:lang w:val="es-ES" w:eastAsia="en-US" w:bidi="ar-SA"/>
      </w:rPr>
    </w:lvl>
    <w:lvl w:ilvl="2">
      <w:start w:val="0"/>
      <w:numFmt w:val="bullet"/>
      <w:lvlText w:val="•"/>
      <w:lvlJc w:val="left"/>
      <w:pPr>
        <w:ind w:left="916" w:hanging="142"/>
      </w:pPr>
      <w:rPr>
        <w:rFonts w:hint="default"/>
        <w:lang w:val="es-ES" w:eastAsia="en-US" w:bidi="ar-SA"/>
      </w:rPr>
    </w:lvl>
    <w:lvl w:ilvl="3">
      <w:start w:val="0"/>
      <w:numFmt w:val="bullet"/>
      <w:lvlText w:val="•"/>
      <w:lvlJc w:val="left"/>
      <w:pPr>
        <w:ind w:left="1274" w:hanging="142"/>
      </w:pPr>
      <w:rPr>
        <w:rFonts w:hint="default"/>
        <w:lang w:val="es-ES" w:eastAsia="en-US" w:bidi="ar-SA"/>
      </w:rPr>
    </w:lvl>
    <w:lvl w:ilvl="4">
      <w:start w:val="0"/>
      <w:numFmt w:val="bullet"/>
      <w:lvlText w:val="•"/>
      <w:lvlJc w:val="left"/>
      <w:pPr>
        <w:ind w:left="1632" w:hanging="142"/>
      </w:pPr>
      <w:rPr>
        <w:rFonts w:hint="default"/>
        <w:lang w:val="es-ES" w:eastAsia="en-US" w:bidi="ar-SA"/>
      </w:rPr>
    </w:lvl>
    <w:lvl w:ilvl="5">
      <w:start w:val="0"/>
      <w:numFmt w:val="bullet"/>
      <w:lvlText w:val="•"/>
      <w:lvlJc w:val="left"/>
      <w:pPr>
        <w:ind w:left="1990" w:hanging="142"/>
      </w:pPr>
      <w:rPr>
        <w:rFonts w:hint="default"/>
        <w:lang w:val="es-ES" w:eastAsia="en-US" w:bidi="ar-SA"/>
      </w:rPr>
    </w:lvl>
    <w:lvl w:ilvl="6">
      <w:start w:val="0"/>
      <w:numFmt w:val="bullet"/>
      <w:lvlText w:val="•"/>
      <w:lvlJc w:val="left"/>
      <w:pPr>
        <w:ind w:left="2348" w:hanging="142"/>
      </w:pPr>
      <w:rPr>
        <w:rFonts w:hint="default"/>
        <w:lang w:val="es-ES" w:eastAsia="en-US" w:bidi="ar-SA"/>
      </w:rPr>
    </w:lvl>
    <w:lvl w:ilvl="7">
      <w:start w:val="0"/>
      <w:numFmt w:val="bullet"/>
      <w:lvlText w:val="•"/>
      <w:lvlJc w:val="left"/>
      <w:pPr>
        <w:ind w:left="2706" w:hanging="142"/>
      </w:pPr>
      <w:rPr>
        <w:rFonts w:hint="default"/>
        <w:lang w:val="es-ES" w:eastAsia="en-US" w:bidi="ar-SA"/>
      </w:rPr>
    </w:lvl>
    <w:lvl w:ilvl="8">
      <w:start w:val="0"/>
      <w:numFmt w:val="bullet"/>
      <w:lvlText w:val="•"/>
      <w:lvlJc w:val="left"/>
      <w:pPr>
        <w:ind w:left="3064" w:hanging="142"/>
      </w:pPr>
      <w:rPr>
        <w:rFonts w:hint="default"/>
        <w:lang w:val="es-ES" w:eastAsia="en-US" w:bidi="ar-SA"/>
      </w:rPr>
    </w:lvl>
  </w:abstractNum>
  <w:abstractNum w:abstractNumId="3">
    <w:multiLevelType w:val="hybridMultilevel"/>
    <w:lvl w:ilvl="0">
      <w:start w:val="0"/>
      <w:numFmt w:val="bullet"/>
      <w:lvlText w:val=""/>
      <w:lvlJc w:val="left"/>
      <w:pPr>
        <w:ind w:left="1026" w:hanging="142"/>
      </w:pPr>
      <w:rPr>
        <w:rFonts w:hint="default" w:ascii="Symbol" w:hAnsi="Symbol" w:eastAsia="Symbol" w:cs="Symbol"/>
        <w:b w:val="0"/>
        <w:bCs w:val="0"/>
        <w:i w:val="0"/>
        <w:iCs w:val="0"/>
        <w:spacing w:val="0"/>
        <w:w w:val="100"/>
        <w:sz w:val="22"/>
        <w:szCs w:val="22"/>
        <w:lang w:val="es-ES" w:eastAsia="en-US" w:bidi="ar-SA"/>
      </w:rPr>
    </w:lvl>
    <w:lvl w:ilvl="1">
      <w:start w:val="0"/>
      <w:numFmt w:val="bullet"/>
      <w:lvlText w:val="o"/>
      <w:lvlJc w:val="left"/>
      <w:pPr>
        <w:ind w:left="1518" w:hanging="360"/>
      </w:pPr>
      <w:rPr>
        <w:rFonts w:hint="default" w:ascii="Courier New" w:hAnsi="Courier New" w:eastAsia="Courier New" w:cs="Courier New"/>
        <w:b w:val="0"/>
        <w:bCs w:val="0"/>
        <w:i w:val="0"/>
        <w:iCs w:val="0"/>
        <w:spacing w:val="0"/>
        <w:w w:val="100"/>
        <w:sz w:val="22"/>
        <w:szCs w:val="22"/>
        <w:lang w:val="es-ES" w:eastAsia="en-US" w:bidi="ar-SA"/>
      </w:rPr>
    </w:lvl>
    <w:lvl w:ilvl="2">
      <w:start w:val="0"/>
      <w:numFmt w:val="bullet"/>
      <w:lvlText w:val="•"/>
      <w:lvlJc w:val="left"/>
      <w:pPr>
        <w:ind w:left="2309" w:hanging="360"/>
      </w:pPr>
      <w:rPr>
        <w:rFonts w:hint="default"/>
        <w:lang w:val="es-ES" w:eastAsia="en-US" w:bidi="ar-SA"/>
      </w:rPr>
    </w:lvl>
    <w:lvl w:ilvl="3">
      <w:start w:val="0"/>
      <w:numFmt w:val="bullet"/>
      <w:lvlText w:val="•"/>
      <w:lvlJc w:val="left"/>
      <w:pPr>
        <w:ind w:left="3099" w:hanging="360"/>
      </w:pPr>
      <w:rPr>
        <w:rFonts w:hint="default"/>
        <w:lang w:val="es-ES" w:eastAsia="en-US" w:bidi="ar-SA"/>
      </w:rPr>
    </w:lvl>
    <w:lvl w:ilvl="4">
      <w:start w:val="0"/>
      <w:numFmt w:val="bullet"/>
      <w:lvlText w:val="•"/>
      <w:lvlJc w:val="left"/>
      <w:pPr>
        <w:ind w:left="3888" w:hanging="360"/>
      </w:pPr>
      <w:rPr>
        <w:rFonts w:hint="default"/>
        <w:lang w:val="es-ES" w:eastAsia="en-US" w:bidi="ar-SA"/>
      </w:rPr>
    </w:lvl>
    <w:lvl w:ilvl="5">
      <w:start w:val="0"/>
      <w:numFmt w:val="bullet"/>
      <w:lvlText w:val="•"/>
      <w:lvlJc w:val="left"/>
      <w:pPr>
        <w:ind w:left="4678" w:hanging="360"/>
      </w:pPr>
      <w:rPr>
        <w:rFonts w:hint="default"/>
        <w:lang w:val="es-ES" w:eastAsia="en-US" w:bidi="ar-SA"/>
      </w:rPr>
    </w:lvl>
    <w:lvl w:ilvl="6">
      <w:start w:val="0"/>
      <w:numFmt w:val="bullet"/>
      <w:lvlText w:val="•"/>
      <w:lvlJc w:val="left"/>
      <w:pPr>
        <w:ind w:left="5468" w:hanging="360"/>
      </w:pPr>
      <w:rPr>
        <w:rFonts w:hint="default"/>
        <w:lang w:val="es-ES" w:eastAsia="en-US" w:bidi="ar-SA"/>
      </w:rPr>
    </w:lvl>
    <w:lvl w:ilvl="7">
      <w:start w:val="0"/>
      <w:numFmt w:val="bullet"/>
      <w:lvlText w:val="•"/>
      <w:lvlJc w:val="left"/>
      <w:pPr>
        <w:ind w:left="6257" w:hanging="360"/>
      </w:pPr>
      <w:rPr>
        <w:rFonts w:hint="default"/>
        <w:lang w:val="es-ES" w:eastAsia="en-US" w:bidi="ar-SA"/>
      </w:rPr>
    </w:lvl>
    <w:lvl w:ilvl="8">
      <w:start w:val="0"/>
      <w:numFmt w:val="bullet"/>
      <w:lvlText w:val="•"/>
      <w:lvlJc w:val="left"/>
      <w:pPr>
        <w:ind w:left="7047" w:hanging="360"/>
      </w:pPr>
      <w:rPr>
        <w:rFonts w:hint="default"/>
        <w:lang w:val="es-ES" w:eastAsia="en-US" w:bidi="ar-SA"/>
      </w:rPr>
    </w:lvl>
  </w:abstractNum>
  <w:abstractNum w:abstractNumId="2">
    <w:multiLevelType w:val="hybridMultilevel"/>
    <w:lvl w:ilvl="0">
      <w:start w:val="0"/>
      <w:numFmt w:val="bullet"/>
      <w:lvlText w:val="-"/>
      <w:lvlJc w:val="left"/>
      <w:pPr>
        <w:ind w:left="102" w:hanging="200"/>
      </w:pPr>
      <w:rPr>
        <w:rFonts w:hint="default" w:ascii="Verdana" w:hAnsi="Verdana" w:eastAsia="Verdana" w:cs="Verdana"/>
        <w:b w:val="0"/>
        <w:bCs w:val="0"/>
        <w:i w:val="0"/>
        <w:iCs w:val="0"/>
        <w:spacing w:val="0"/>
        <w:w w:val="100"/>
        <w:sz w:val="22"/>
        <w:szCs w:val="22"/>
        <w:lang w:val="es-ES" w:eastAsia="en-US" w:bidi="ar-SA"/>
      </w:rPr>
    </w:lvl>
    <w:lvl w:ilvl="1">
      <w:start w:val="0"/>
      <w:numFmt w:val="bullet"/>
      <w:lvlText w:val="•"/>
      <w:lvlJc w:val="left"/>
      <w:pPr>
        <w:ind w:left="952" w:hanging="200"/>
      </w:pPr>
      <w:rPr>
        <w:rFonts w:hint="default"/>
        <w:lang w:val="es-ES" w:eastAsia="en-US" w:bidi="ar-SA"/>
      </w:rPr>
    </w:lvl>
    <w:lvl w:ilvl="2">
      <w:start w:val="0"/>
      <w:numFmt w:val="bullet"/>
      <w:lvlText w:val="•"/>
      <w:lvlJc w:val="left"/>
      <w:pPr>
        <w:ind w:left="1805" w:hanging="200"/>
      </w:pPr>
      <w:rPr>
        <w:rFonts w:hint="default"/>
        <w:lang w:val="es-ES" w:eastAsia="en-US" w:bidi="ar-SA"/>
      </w:rPr>
    </w:lvl>
    <w:lvl w:ilvl="3">
      <w:start w:val="0"/>
      <w:numFmt w:val="bullet"/>
      <w:lvlText w:val="•"/>
      <w:lvlJc w:val="left"/>
      <w:pPr>
        <w:ind w:left="2657" w:hanging="200"/>
      </w:pPr>
      <w:rPr>
        <w:rFonts w:hint="default"/>
        <w:lang w:val="es-ES" w:eastAsia="en-US" w:bidi="ar-SA"/>
      </w:rPr>
    </w:lvl>
    <w:lvl w:ilvl="4">
      <w:start w:val="0"/>
      <w:numFmt w:val="bullet"/>
      <w:lvlText w:val="•"/>
      <w:lvlJc w:val="left"/>
      <w:pPr>
        <w:ind w:left="3510" w:hanging="200"/>
      </w:pPr>
      <w:rPr>
        <w:rFonts w:hint="default"/>
        <w:lang w:val="es-ES" w:eastAsia="en-US" w:bidi="ar-SA"/>
      </w:rPr>
    </w:lvl>
    <w:lvl w:ilvl="5">
      <w:start w:val="0"/>
      <w:numFmt w:val="bullet"/>
      <w:lvlText w:val="•"/>
      <w:lvlJc w:val="left"/>
      <w:pPr>
        <w:ind w:left="4363" w:hanging="200"/>
      </w:pPr>
      <w:rPr>
        <w:rFonts w:hint="default"/>
        <w:lang w:val="es-ES" w:eastAsia="en-US" w:bidi="ar-SA"/>
      </w:rPr>
    </w:lvl>
    <w:lvl w:ilvl="6">
      <w:start w:val="0"/>
      <w:numFmt w:val="bullet"/>
      <w:lvlText w:val="•"/>
      <w:lvlJc w:val="left"/>
      <w:pPr>
        <w:ind w:left="5215" w:hanging="200"/>
      </w:pPr>
      <w:rPr>
        <w:rFonts w:hint="default"/>
        <w:lang w:val="es-ES" w:eastAsia="en-US" w:bidi="ar-SA"/>
      </w:rPr>
    </w:lvl>
    <w:lvl w:ilvl="7">
      <w:start w:val="0"/>
      <w:numFmt w:val="bullet"/>
      <w:lvlText w:val="•"/>
      <w:lvlJc w:val="left"/>
      <w:pPr>
        <w:ind w:left="6068" w:hanging="200"/>
      </w:pPr>
      <w:rPr>
        <w:rFonts w:hint="default"/>
        <w:lang w:val="es-ES" w:eastAsia="en-US" w:bidi="ar-SA"/>
      </w:rPr>
    </w:lvl>
    <w:lvl w:ilvl="8">
      <w:start w:val="0"/>
      <w:numFmt w:val="bullet"/>
      <w:lvlText w:val="•"/>
      <w:lvlJc w:val="left"/>
      <w:pPr>
        <w:ind w:left="6921" w:hanging="200"/>
      </w:pPr>
      <w:rPr>
        <w:rFonts w:hint="default"/>
        <w:lang w:val="es-ES" w:eastAsia="en-US" w:bidi="ar-SA"/>
      </w:rPr>
    </w:lvl>
  </w:abstractNum>
  <w:abstractNum w:abstractNumId="1">
    <w:multiLevelType w:val="hybridMultilevel"/>
    <w:lvl w:ilvl="0">
      <w:start w:val="0"/>
      <w:numFmt w:val="bullet"/>
      <w:lvlText w:val="-"/>
      <w:lvlJc w:val="left"/>
      <w:pPr>
        <w:ind w:left="102" w:hanging="178"/>
      </w:pPr>
      <w:rPr>
        <w:rFonts w:hint="default" w:ascii="Verdana" w:hAnsi="Verdana" w:eastAsia="Verdana" w:cs="Verdana"/>
        <w:b w:val="0"/>
        <w:bCs w:val="0"/>
        <w:i w:val="0"/>
        <w:iCs w:val="0"/>
        <w:spacing w:val="0"/>
        <w:w w:val="100"/>
        <w:sz w:val="22"/>
        <w:szCs w:val="22"/>
        <w:lang w:val="es-ES" w:eastAsia="en-US" w:bidi="ar-SA"/>
      </w:rPr>
    </w:lvl>
    <w:lvl w:ilvl="1">
      <w:start w:val="0"/>
      <w:numFmt w:val="bullet"/>
      <w:lvlText w:val="-"/>
      <w:lvlJc w:val="left"/>
      <w:pPr>
        <w:ind w:left="102" w:hanging="221"/>
      </w:pPr>
      <w:rPr>
        <w:rFonts w:hint="default" w:ascii="Verdana" w:hAnsi="Verdana" w:eastAsia="Verdana" w:cs="Verdana"/>
        <w:b w:val="0"/>
        <w:bCs w:val="0"/>
        <w:i w:val="0"/>
        <w:iCs w:val="0"/>
        <w:spacing w:val="0"/>
        <w:w w:val="100"/>
        <w:sz w:val="22"/>
        <w:szCs w:val="22"/>
        <w:lang w:val="es-ES" w:eastAsia="en-US" w:bidi="ar-SA"/>
      </w:rPr>
    </w:lvl>
    <w:lvl w:ilvl="2">
      <w:start w:val="0"/>
      <w:numFmt w:val="bullet"/>
      <w:lvlText w:val="•"/>
      <w:lvlJc w:val="left"/>
      <w:pPr>
        <w:ind w:left="1805" w:hanging="221"/>
      </w:pPr>
      <w:rPr>
        <w:rFonts w:hint="default"/>
        <w:lang w:val="es-ES" w:eastAsia="en-US" w:bidi="ar-SA"/>
      </w:rPr>
    </w:lvl>
    <w:lvl w:ilvl="3">
      <w:start w:val="0"/>
      <w:numFmt w:val="bullet"/>
      <w:lvlText w:val="•"/>
      <w:lvlJc w:val="left"/>
      <w:pPr>
        <w:ind w:left="2657" w:hanging="221"/>
      </w:pPr>
      <w:rPr>
        <w:rFonts w:hint="default"/>
        <w:lang w:val="es-ES" w:eastAsia="en-US" w:bidi="ar-SA"/>
      </w:rPr>
    </w:lvl>
    <w:lvl w:ilvl="4">
      <w:start w:val="0"/>
      <w:numFmt w:val="bullet"/>
      <w:lvlText w:val="•"/>
      <w:lvlJc w:val="left"/>
      <w:pPr>
        <w:ind w:left="3510" w:hanging="221"/>
      </w:pPr>
      <w:rPr>
        <w:rFonts w:hint="default"/>
        <w:lang w:val="es-ES" w:eastAsia="en-US" w:bidi="ar-SA"/>
      </w:rPr>
    </w:lvl>
    <w:lvl w:ilvl="5">
      <w:start w:val="0"/>
      <w:numFmt w:val="bullet"/>
      <w:lvlText w:val="•"/>
      <w:lvlJc w:val="left"/>
      <w:pPr>
        <w:ind w:left="4363" w:hanging="221"/>
      </w:pPr>
      <w:rPr>
        <w:rFonts w:hint="default"/>
        <w:lang w:val="es-ES" w:eastAsia="en-US" w:bidi="ar-SA"/>
      </w:rPr>
    </w:lvl>
    <w:lvl w:ilvl="6">
      <w:start w:val="0"/>
      <w:numFmt w:val="bullet"/>
      <w:lvlText w:val="•"/>
      <w:lvlJc w:val="left"/>
      <w:pPr>
        <w:ind w:left="5215" w:hanging="221"/>
      </w:pPr>
      <w:rPr>
        <w:rFonts w:hint="default"/>
        <w:lang w:val="es-ES" w:eastAsia="en-US" w:bidi="ar-SA"/>
      </w:rPr>
    </w:lvl>
    <w:lvl w:ilvl="7">
      <w:start w:val="0"/>
      <w:numFmt w:val="bullet"/>
      <w:lvlText w:val="•"/>
      <w:lvlJc w:val="left"/>
      <w:pPr>
        <w:ind w:left="6068" w:hanging="221"/>
      </w:pPr>
      <w:rPr>
        <w:rFonts w:hint="default"/>
        <w:lang w:val="es-ES" w:eastAsia="en-US" w:bidi="ar-SA"/>
      </w:rPr>
    </w:lvl>
    <w:lvl w:ilvl="8">
      <w:start w:val="0"/>
      <w:numFmt w:val="bullet"/>
      <w:lvlText w:val="•"/>
      <w:lvlJc w:val="left"/>
      <w:pPr>
        <w:ind w:left="6921" w:hanging="221"/>
      </w:pPr>
      <w:rPr>
        <w:rFonts w:hint="default"/>
        <w:lang w:val="es-ES" w:eastAsia="en-US" w:bidi="ar-SA"/>
      </w:rPr>
    </w:lvl>
  </w:abstractNum>
  <w:num w:numId="1">
    <w:abstractNumId w:val="0"/>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s-ES" w:eastAsia="en-US" w:bidi="ar-SA"/>
    </w:rPr>
  </w:style>
  <w:style w:styleId="BodyText" w:type="paragraph">
    <w:name w:val="Body Text"/>
    <w:basedOn w:val="Normal"/>
    <w:uiPriority w:val="1"/>
    <w:qFormat/>
    <w:pPr/>
    <w:rPr>
      <w:rFonts w:ascii="Verdana" w:hAnsi="Verdana" w:eastAsia="Verdana" w:cs="Verdana"/>
      <w:sz w:val="22"/>
      <w:szCs w:val="22"/>
      <w:lang w:val="es-ES" w:eastAsia="en-US" w:bidi="ar-SA"/>
    </w:rPr>
  </w:style>
  <w:style w:styleId="Heading1" w:type="paragraph">
    <w:name w:val="Heading 1"/>
    <w:basedOn w:val="Normal"/>
    <w:uiPriority w:val="1"/>
    <w:qFormat/>
    <w:pPr>
      <w:ind w:left="798"/>
      <w:outlineLvl w:val="1"/>
    </w:pPr>
    <w:rPr>
      <w:rFonts w:ascii="Verdana" w:hAnsi="Verdana" w:eastAsia="Verdana" w:cs="Verdana"/>
      <w:b/>
      <w:bCs/>
      <w:sz w:val="22"/>
      <w:szCs w:val="22"/>
      <w:lang w:val="es-ES" w:eastAsia="en-US" w:bidi="ar-SA"/>
    </w:rPr>
  </w:style>
  <w:style w:styleId="ListParagraph" w:type="paragraph">
    <w:name w:val="List Paragraph"/>
    <w:basedOn w:val="Normal"/>
    <w:uiPriority w:val="1"/>
    <w:qFormat/>
    <w:pPr>
      <w:ind w:left="102" w:firstLine="695"/>
      <w:jc w:val="both"/>
    </w:pPr>
    <w:rPr>
      <w:rFonts w:ascii="Verdana" w:hAnsi="Verdana" w:eastAsia="Verdana" w:cs="Verdana"/>
      <w:lang w:val="es-ES" w:eastAsia="en-US" w:bidi="ar-SA"/>
    </w:rPr>
  </w:style>
  <w:style w:styleId="TableParagraph" w:type="paragraph">
    <w:name w:val="Table Paragraph"/>
    <w:basedOn w:val="Normal"/>
    <w:uiPriority w:val="1"/>
    <w:qFormat/>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2.jpeg"/><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header" Target="header3.xml"/><Relationship Id="rId10" Type="http://schemas.openxmlformats.org/officeDocument/2006/relationships/footer" Target="footer2.xml"/><Relationship Id="rId11" Type="http://schemas.openxmlformats.org/officeDocument/2006/relationships/header" Target="header4.xml"/><Relationship Id="rId12" Type="http://schemas.openxmlformats.org/officeDocument/2006/relationships/footer" Target="footer3.xml"/><Relationship Id="rId13" Type="http://schemas.openxmlformats.org/officeDocument/2006/relationships/header" Target="header5.xml"/><Relationship Id="rId14" Type="http://schemas.openxmlformats.org/officeDocument/2006/relationships/footer" Target="footer4.xml"/><Relationship Id="rId15" Type="http://schemas.openxmlformats.org/officeDocument/2006/relationships/header" Target="header6.xml"/><Relationship Id="rId16" Type="http://schemas.openxmlformats.org/officeDocument/2006/relationships/footer" Target="footer5.xml"/><Relationship Id="rId17" Type="http://schemas.openxmlformats.org/officeDocument/2006/relationships/header" Target="header7.xml"/><Relationship Id="rId18" Type="http://schemas.openxmlformats.org/officeDocument/2006/relationships/footer" Target="footer6.xml"/><Relationship Id="rId1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Paulo García Díaz</dc:creator>
  <dc:title>APROB PTO MUNICIPAL</dc:title>
  <dcterms:created xsi:type="dcterms:W3CDTF">2023-12-29T13:14:56Z</dcterms:created>
  <dcterms:modified xsi:type="dcterms:W3CDTF">2023-12-29T13:14:56Z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para Microsoft 365</vt:lpwstr>
  </property>
  <property fmtid="{D5CDD505-2E9C-101B-9397-08002B2CF9AE}" pid="4" name="LastSaved">
    <vt:filetime>2023-12-29T00:00:00Z</vt:filetime>
  </property>
  <property fmtid="{D5CDD505-2E9C-101B-9397-08002B2CF9AE}" pid="5" name="Producer">
    <vt:lpwstr>Microsoft® Word para Microsoft 365</vt:lpwstr>
  </property>
</Properties>
</file>